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方正小标宋简体" w:hAnsi="方正小标宋简体" w:eastAsia="方正小标宋简体"/>
          <w:sz w:val="44"/>
          <w:szCs w:val="44"/>
        </w:rPr>
      </w:pPr>
      <w:r>
        <w:rPr>
          <w:rFonts w:ascii="方正小标宋简体" w:hAnsi="方正小标宋简体" w:eastAsia="方正小标宋简体"/>
          <w:sz w:val="44"/>
          <w:szCs w:val="44"/>
        </w:rPr>
        <w:t>四川川投大健康产业投资有限责任公司</w:t>
      </w:r>
    </w:p>
    <w:p>
      <w:pPr>
        <w:spacing w:line="680" w:lineRule="exact"/>
        <w:jc w:val="center"/>
        <w:rPr>
          <w:rFonts w:ascii="方正小标宋简体" w:hAnsi="方正小标宋简体" w:eastAsia="方正小标宋简体"/>
          <w:sz w:val="44"/>
          <w:szCs w:val="44"/>
        </w:rPr>
      </w:pPr>
      <w:r>
        <w:rPr>
          <w:rFonts w:ascii="方正小标宋简体" w:hAnsi="方正小标宋简体" w:eastAsia="方正小标宋简体"/>
          <w:sz w:val="44"/>
          <w:szCs w:val="44"/>
        </w:rPr>
        <w:t>招聘公告</w:t>
      </w:r>
    </w:p>
    <w:p>
      <w:pPr>
        <w:spacing w:line="360" w:lineRule="auto"/>
        <w:ind w:firstLine="640"/>
        <w:rPr>
          <w:rFonts w:ascii="FangSong_GB2312" w:hAnsi="FangSong_GB2312" w:eastAsia="FangSong_GB2312"/>
          <w:sz w:val="32"/>
          <w:szCs w:val="32"/>
        </w:rPr>
      </w:pPr>
    </w:p>
    <w:p>
      <w:pPr>
        <w:spacing w:line="360" w:lineRule="auto"/>
        <w:ind w:firstLine="640" w:firstLineChars="200"/>
        <w:rPr>
          <w:rFonts w:ascii="仿宋" w:hAnsi="仿宋" w:eastAsia="仿宋"/>
          <w:sz w:val="32"/>
          <w:szCs w:val="32"/>
        </w:rPr>
      </w:pPr>
      <w:r>
        <w:rPr>
          <w:rFonts w:ascii="仿宋" w:hAnsi="仿宋" w:eastAsia="仿宋"/>
          <w:sz w:val="32"/>
          <w:szCs w:val="32"/>
        </w:rPr>
        <w:t>四川川投大健康产业投资有限责任公司（以下简称“川投大健康公司”）是四川省投资集团有限责任公司的全资子公司，成立于2018年9月，注册资本金4.8亿元。公司致力于培育推广川投大健康品牌，涵盖康养、医疗、文旅、体育四大板块。同步培育并推广“川投美景”、“川投美宿”、“川投美好生活”、“川投幸福之家”等川投大健康IP。</w:t>
      </w:r>
    </w:p>
    <w:p>
      <w:pPr>
        <w:spacing w:line="360" w:lineRule="auto"/>
        <w:ind w:firstLine="640" w:firstLineChars="200"/>
        <w:rPr>
          <w:rFonts w:ascii="FangSong_GB2312" w:hAnsi="FangSong_GB2312" w:eastAsia="FangSong_GB2312"/>
          <w:sz w:val="32"/>
          <w:szCs w:val="32"/>
        </w:rPr>
      </w:pPr>
      <w:r>
        <w:rPr>
          <w:rFonts w:ascii="仿宋" w:hAnsi="仿宋" w:eastAsia="仿宋"/>
          <w:sz w:val="32"/>
          <w:szCs w:val="32"/>
        </w:rPr>
        <w:t>截至2019年，川投大健康公司合并资产总额9.07亿元，控股攀枝花红格投资开发有限责任公司、红格温泉会展中心有限公司，参股四川川投汇鑫实业有限公司。经营范围包括：项目投资；企业管理服务；旅游资源开发；游览景区管理;酒店管理服务；医院管理；健康管理、健康咨询(须经审批的诊疗活动除外)；集中养老服务;药品、医疗器材经营；会议及展览服务；文化艺术业；教育咨询、教育管理服务；</w:t>
      </w:r>
      <w:r>
        <w:rPr>
          <w:rFonts w:ascii="仿宋" w:hAnsi="仿宋" w:eastAsia="仿宋"/>
          <w:sz w:val="32"/>
          <w:szCs w:val="32"/>
          <w:shd w:val="clear" w:fill="FFFFFF"/>
        </w:rPr>
        <w:t>教育和公益性活动策划；职业技能培训及相关服务；</w:t>
      </w:r>
      <w:r>
        <w:rPr>
          <w:rFonts w:ascii="仿宋" w:hAnsi="仿宋" w:eastAsia="仿宋"/>
          <w:sz w:val="32"/>
          <w:szCs w:val="32"/>
        </w:rPr>
        <w:t>体育组织等。</w:t>
      </w:r>
    </w:p>
    <w:p>
      <w:pPr>
        <w:spacing w:line="360" w:lineRule="auto"/>
        <w:ind w:firstLine="641"/>
        <w:rPr>
          <w:rFonts w:ascii="仿宋" w:hAnsi="仿宋" w:eastAsia="仿宋" w:cs="宋体"/>
          <w:sz w:val="32"/>
          <w:szCs w:val="32"/>
        </w:rPr>
      </w:pPr>
      <w:r>
        <w:rPr>
          <w:rFonts w:ascii="仿宋" w:hAnsi="仿宋" w:eastAsia="仿宋"/>
          <w:sz w:val="32"/>
          <w:szCs w:val="32"/>
        </w:rPr>
        <w:t>根据企业发展需要，特面向社会市场化招聘投资管理岗位人员1名。</w:t>
      </w:r>
      <w:r>
        <w:rPr>
          <w:rFonts w:ascii="仿宋" w:hAnsi="仿宋" w:eastAsia="仿宋" w:cs="宋体"/>
          <w:sz w:val="32"/>
          <w:szCs w:val="32"/>
        </w:rPr>
        <w:t>现将有关招聘事项公告如下：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pPr>
      <w:r>
        <w:rPr>
          <w:rFonts w:ascii="黑体" w:hAnsi="黑体" w:eastAsia="黑体"/>
          <w:b w:val="0"/>
          <w:bCs w:val="0"/>
          <w:sz w:val="32"/>
          <w:szCs w:val="32"/>
        </w:rPr>
        <w:t>一、招聘岗位及人数</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ascii="仿宋" w:eastAsia="仿宋" w:cs="宋体" w:hAnsiTheme="majorEastAsia"/>
          <w:sz w:val="32"/>
          <w:szCs w:val="32"/>
        </w:rPr>
      </w:pPr>
      <w:r>
        <w:rPr>
          <w:rFonts w:ascii="楷体" w:hAnsi="楷体" w:eastAsia="楷体"/>
          <w:sz w:val="32"/>
          <w:szCs w:val="32"/>
        </w:rPr>
        <w:t>（一）</w:t>
      </w:r>
      <w:r>
        <w:rPr>
          <w:rFonts w:ascii="仿宋" w:hAnsi="仿宋" w:eastAsia="仿宋"/>
          <w:sz w:val="32"/>
          <w:szCs w:val="32"/>
        </w:rPr>
        <w:t>战略投资部—投资管理岗</w:t>
      </w:r>
      <w:r>
        <w:rPr>
          <w:rFonts w:ascii="仿宋" w:eastAsia="仿宋" w:cs="宋体" w:hAnsiTheme="majorEastAsia"/>
          <w:sz w:val="32"/>
          <w:szCs w:val="32"/>
        </w:rPr>
        <w:t xml:space="preserve">   1名</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pPr>
      <w:r>
        <w:rPr>
          <w:rFonts w:ascii="黑体" w:hAnsi="黑体" w:eastAsia="黑体"/>
          <w:b w:val="0"/>
          <w:bCs w:val="0"/>
          <w:sz w:val="32"/>
          <w:szCs w:val="32"/>
        </w:rPr>
        <w:t>二、岗位职责</w:t>
      </w:r>
    </w:p>
    <w:tbl>
      <w:tblPr>
        <w:tblStyle w:val="32"/>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7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523" w:type="dxa"/>
            <w:shd w:val="clear" w:color="auto" w:fill="auto"/>
            <w:vAlign w:val="bottom"/>
          </w:tcPr>
          <w:p>
            <w:pPr>
              <w:spacing w:line="360" w:lineRule="auto"/>
              <w:jc w:val="center"/>
              <w:rPr>
                <w:rFonts w:ascii="FangSong_GB2312" w:hAnsi="FangSong_GB2312" w:eastAsia="FangSong_GB2312"/>
                <w:b/>
                <w:sz w:val="28"/>
                <w:szCs w:val="28"/>
              </w:rPr>
            </w:pPr>
            <w:r>
              <w:rPr>
                <w:rFonts w:ascii="仿宋" w:hAnsi="仿宋" w:eastAsia="仿宋"/>
                <w:b/>
                <w:sz w:val="28"/>
                <w:szCs w:val="28"/>
              </w:rPr>
              <w:t>岗位</w:t>
            </w:r>
          </w:p>
        </w:tc>
        <w:tc>
          <w:tcPr>
            <w:tcW w:w="7762" w:type="dxa"/>
            <w:shd w:val="clear" w:color="auto" w:fill="auto"/>
            <w:vAlign w:val="bottom"/>
          </w:tcPr>
          <w:p>
            <w:pPr>
              <w:spacing w:line="360" w:lineRule="auto"/>
              <w:jc w:val="center"/>
              <w:rPr>
                <w:rFonts w:ascii="FangSong_GB2312" w:hAnsi="FangSong_GB2312" w:eastAsia="FangSong_GB2312"/>
                <w:b/>
                <w:sz w:val="28"/>
                <w:szCs w:val="28"/>
              </w:rPr>
            </w:pPr>
            <w:r>
              <w:rPr>
                <w:rFonts w:ascii="仿宋" w:hAnsi="仿宋" w:eastAsia="仿宋"/>
                <w:b/>
                <w:sz w:val="28"/>
                <w:szCs w:val="28"/>
              </w:rPr>
              <w:t>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3" w:type="dxa"/>
            <w:shd w:val="clear" w:color="auto" w:fill="auto"/>
            <w:vAlign w:val="center"/>
          </w:tcPr>
          <w:p>
            <w:pPr>
              <w:spacing w:line="360" w:lineRule="auto"/>
              <w:jc w:val="center"/>
              <w:rPr>
                <w:rFonts w:ascii="FangSong_GB2312" w:hAnsi="FangSong_GB2312" w:eastAsia="FangSong_GB2312"/>
                <w:b/>
                <w:sz w:val="28"/>
                <w:szCs w:val="28"/>
              </w:rPr>
            </w:pPr>
            <w:r>
              <w:rPr>
                <w:rFonts w:ascii="仿宋" w:hAnsi="仿宋" w:eastAsia="仿宋"/>
                <w:b/>
                <w:sz w:val="28"/>
                <w:szCs w:val="28"/>
              </w:rPr>
              <w:t>投资管理</w:t>
            </w:r>
          </w:p>
        </w:tc>
        <w:tc>
          <w:tcPr>
            <w:tcW w:w="7762" w:type="dxa"/>
            <w:shd w:val="clear" w:color="auto" w:fill="auto"/>
            <w:vAlign w:val="center"/>
          </w:tcPr>
          <w:p>
            <w:pPr>
              <w:spacing w:line="360" w:lineRule="auto"/>
              <w:ind w:firstLine="640"/>
              <w:rPr>
                <w:rFonts w:ascii="FangSong_GB2312" w:hAnsi="FangSong_GB2312" w:eastAsia="FangSong_GB2312"/>
                <w:sz w:val="32"/>
                <w:szCs w:val="32"/>
              </w:rPr>
            </w:pPr>
            <w:r>
              <w:rPr>
                <w:rFonts w:ascii="仿宋" w:hAnsi="仿宋" w:eastAsia="仿宋"/>
                <w:sz w:val="32"/>
                <w:szCs w:val="32"/>
              </w:rPr>
              <w:t>1.负责康养、医疗行业的相关项目及资源拓展和维护；</w:t>
            </w:r>
          </w:p>
          <w:p>
            <w:pPr>
              <w:spacing w:line="360" w:lineRule="auto"/>
              <w:ind w:firstLine="640"/>
              <w:rPr>
                <w:rFonts w:ascii="FangSong_GB2312" w:hAnsi="FangSong_GB2312" w:eastAsia="FangSong_GB2312"/>
                <w:sz w:val="32"/>
                <w:szCs w:val="32"/>
              </w:rPr>
            </w:pPr>
            <w:r>
              <w:rPr>
                <w:rFonts w:ascii="仿宋" w:hAnsi="仿宋" w:eastAsia="仿宋"/>
                <w:sz w:val="32"/>
                <w:szCs w:val="32"/>
              </w:rPr>
              <w:t>2.在投资的各个阶段起着领导者的作用，具体工作包括项目挖掘、谈判；协调各中介机构开展尽职调查；就投资交易结构进行设计、对项目进行财务分析、估值及回报分析等；</w:t>
            </w:r>
          </w:p>
          <w:p>
            <w:pPr>
              <w:spacing w:line="360" w:lineRule="auto"/>
              <w:rPr>
                <w:rFonts w:ascii="FangSong_GB2312" w:hAnsi="FangSong_GB2312" w:eastAsia="FangSong_GB2312"/>
                <w:sz w:val="32"/>
                <w:szCs w:val="32"/>
              </w:rPr>
            </w:pPr>
            <w:r>
              <w:rPr>
                <w:rFonts w:ascii="仿宋" w:hAnsi="仿宋" w:eastAsia="仿宋"/>
                <w:sz w:val="32"/>
                <w:szCs w:val="32"/>
              </w:rPr>
              <w:t>3.负责起草各类合作协议及投资协议等相关投资性文件，按照公司投资管理办法编写相关投资决策依据文件，如可行性研究报告等；</w:t>
            </w:r>
          </w:p>
          <w:p>
            <w:pPr>
              <w:spacing w:line="360" w:lineRule="auto"/>
              <w:ind w:firstLine="640"/>
              <w:rPr>
                <w:rFonts w:ascii="FangSong_GB2312" w:hAnsi="FangSong_GB2312" w:eastAsia="FangSong_GB2312"/>
                <w:sz w:val="32"/>
                <w:szCs w:val="32"/>
              </w:rPr>
            </w:pPr>
            <w:r>
              <w:rPr>
                <w:rFonts w:ascii="仿宋" w:hAnsi="仿宋" w:eastAsia="仿宋"/>
                <w:sz w:val="32"/>
                <w:szCs w:val="32"/>
              </w:rPr>
              <w:t>4.上级交办的其他工作。</w:t>
            </w:r>
          </w:p>
        </w:tc>
      </w:tr>
    </w:tbl>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pPr>
      <w:r>
        <w:rPr>
          <w:rFonts w:asciiTheme="majorEastAsia" w:hAnsiTheme="majorEastAsia" w:eastAsiaTheme="majorEastAsia"/>
          <w:sz w:val="32"/>
          <w:szCs w:val="32"/>
        </w:rPr>
        <w:t>三、资格条件</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left"/>
        <w:textAlignment w:val="auto"/>
        <w:outlineLvl w:val="9"/>
        <w:rPr>
          <w:rFonts w:ascii="KaiTi_GB2312" w:hAnsi="KaiTi_GB2312" w:eastAsia="KaiTi_GB2312"/>
          <w:b/>
          <w:sz w:val="32"/>
          <w:szCs w:val="32"/>
        </w:rPr>
      </w:pPr>
      <w:r>
        <w:rPr>
          <w:rFonts w:ascii="KaiTi_GB2312" w:hAnsi="KaiTi_GB2312" w:eastAsia="楷体"/>
          <w:b/>
          <w:sz w:val="32"/>
          <w:szCs w:val="32"/>
        </w:rPr>
        <w:t>（</w:t>
      </w:r>
      <w:r>
        <w:rPr>
          <w:rFonts w:ascii="KaiTi_GB2312" w:hAnsi="KaiTi_GB2312" w:eastAsia="楷体"/>
          <w:b w:val="0"/>
          <w:bCs w:val="0"/>
          <w:sz w:val="32"/>
          <w:szCs w:val="32"/>
        </w:rPr>
        <w:t>一）基本资格条件</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left"/>
        <w:textAlignment w:val="auto"/>
        <w:outlineLvl w:val="9"/>
        <w:rPr>
          <w:rFonts w:ascii="FangSong_GB2312" w:hAnsi="FangSong_GB2312" w:eastAsia="FangSong_GB2312"/>
          <w:sz w:val="32"/>
          <w:szCs w:val="32"/>
        </w:rPr>
      </w:pPr>
      <w:r>
        <w:rPr>
          <w:rFonts w:ascii="仿宋" w:hAnsi="仿宋" w:eastAsia="仿宋"/>
          <w:sz w:val="32"/>
          <w:szCs w:val="32"/>
        </w:rPr>
        <w:t>1.具有良好的政治思想素质，有开拓创新精神，有强烈的责任感、使命感；</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left"/>
        <w:textAlignment w:val="auto"/>
        <w:outlineLvl w:val="9"/>
        <w:rPr>
          <w:rFonts w:ascii="FangSong_GB2312" w:hAnsi="FangSong_GB2312" w:eastAsia="FangSong_GB2312"/>
          <w:sz w:val="32"/>
          <w:szCs w:val="32"/>
        </w:rPr>
      </w:pPr>
      <w:r>
        <w:rPr>
          <w:rFonts w:ascii="仿宋" w:hAnsi="仿宋" w:eastAsia="仿宋"/>
          <w:sz w:val="32"/>
          <w:szCs w:val="32"/>
        </w:rPr>
        <w:t>2.具有良好的心理素质，身体健康，服从安排；</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left"/>
        <w:textAlignment w:val="auto"/>
        <w:outlineLvl w:val="9"/>
        <w:rPr>
          <w:rFonts w:ascii="FangSong_GB2312" w:hAnsi="FangSong_GB2312" w:eastAsia="FangSong_GB2312" w:cs="FangSong_GB2312"/>
          <w:sz w:val="32"/>
          <w:szCs w:val="32"/>
        </w:rPr>
      </w:pPr>
      <w:r>
        <w:rPr>
          <w:rFonts w:ascii="仿宋" w:hAnsi="仿宋" w:eastAsia="仿宋"/>
          <w:sz w:val="32"/>
          <w:szCs w:val="32"/>
        </w:rPr>
        <w:t>3.遵规守法，品德端正，诚信廉洁，勤奋敬业，</w:t>
      </w:r>
      <w:r>
        <w:rPr>
          <w:rFonts w:ascii="仿宋" w:hAnsi="仿宋" w:eastAsia="仿宋" w:cs="FangSong_GB2312"/>
          <w:sz w:val="32"/>
          <w:szCs w:val="32"/>
        </w:rPr>
        <w:t>团结合作，职业素养好，执行力强，沟通力强。</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left"/>
        <w:textAlignment w:val="auto"/>
        <w:outlineLvl w:val="9"/>
        <w:rPr>
          <w:rFonts w:ascii="KaiTi_GB2312" w:hAnsi="KaiTi_GB2312" w:eastAsia="KaiTi_GB2312"/>
          <w:b/>
          <w:sz w:val="32"/>
          <w:szCs w:val="32"/>
        </w:rPr>
      </w:pPr>
      <w:r>
        <w:rPr>
          <w:rFonts w:ascii="KaiTi_GB2312" w:hAnsi="KaiTi_GB2312" w:eastAsia="楷体"/>
          <w:b w:val="0"/>
          <w:bCs w:val="0"/>
          <w:sz w:val="32"/>
          <w:szCs w:val="32"/>
        </w:rPr>
        <w:t>（二）投资管理岗任职资格条件</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textAlignment w:val="auto"/>
        <w:outlineLvl w:val="9"/>
        <w:rPr>
          <w:rFonts w:ascii="FangSong_GB2312" w:hAnsi="FangSong_GB2312" w:eastAsia="FangSong_GB2312"/>
          <w:sz w:val="32"/>
          <w:szCs w:val="32"/>
        </w:rPr>
      </w:pPr>
      <w:r>
        <w:rPr>
          <w:rFonts w:ascii="仿宋" w:hAnsi="仿宋" w:eastAsia="仿宋"/>
          <w:sz w:val="32"/>
          <w:szCs w:val="32"/>
        </w:rPr>
        <w:t>1. 35岁以下，本科及以上学历，财务管理、金融等相关专业。</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textAlignment w:val="auto"/>
        <w:outlineLvl w:val="9"/>
        <w:rPr>
          <w:rFonts w:ascii="FangSong_GB2312" w:hAnsi="FangSong_GB2312" w:eastAsia="FangSong_GB2312"/>
          <w:sz w:val="32"/>
          <w:szCs w:val="32"/>
        </w:rPr>
      </w:pPr>
      <w:r>
        <w:rPr>
          <w:rFonts w:ascii="仿宋" w:hAnsi="仿宋" w:eastAsia="仿宋"/>
          <w:sz w:val="32"/>
          <w:szCs w:val="32"/>
        </w:rPr>
        <w:t>2. 3年以上医疗、康养项目股权及并购类工作经验，有完整项目经验者优先。</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textAlignment w:val="auto"/>
        <w:outlineLvl w:val="9"/>
        <w:rPr>
          <w:rFonts w:ascii="FangSong_GB2312" w:hAnsi="FangSong_GB2312" w:eastAsia="FangSong_GB2312"/>
          <w:sz w:val="32"/>
          <w:szCs w:val="32"/>
        </w:rPr>
      </w:pPr>
      <w:r>
        <w:rPr>
          <w:rFonts w:ascii="仿宋" w:hAnsi="仿宋" w:eastAsia="仿宋"/>
          <w:sz w:val="32"/>
          <w:szCs w:val="32"/>
        </w:rPr>
        <w:t>3.熟悉养老、医疗等康养项目的投资管理流程和法规，熟悉国有企业投资管理相关流程。</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textAlignment w:val="auto"/>
        <w:outlineLvl w:val="9"/>
        <w:rPr>
          <w:rFonts w:ascii="FangSong_GB2312" w:hAnsi="FangSong_GB2312" w:eastAsia="FangSong_GB2312"/>
          <w:sz w:val="32"/>
          <w:szCs w:val="32"/>
        </w:rPr>
      </w:pPr>
      <w:r>
        <w:rPr>
          <w:rFonts w:ascii="仿宋" w:hAnsi="仿宋" w:eastAsia="仿宋"/>
          <w:sz w:val="32"/>
          <w:szCs w:val="32"/>
        </w:rPr>
        <w:t>4.具有较强的沟通能力，计划与执行能力，语言表达能力，较强的专业技能和一定的管理技能，CPA、法律资格证书、CFA优先。</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textAlignment w:val="auto"/>
        <w:outlineLvl w:val="9"/>
        <w:rPr>
          <w:rFonts w:ascii="FangSong_GB2312" w:hAnsi="FangSong_GB2312" w:eastAsia="FangSong_GB2312"/>
          <w:sz w:val="32"/>
          <w:szCs w:val="32"/>
        </w:rPr>
      </w:pPr>
      <w:r>
        <w:rPr>
          <w:rFonts w:ascii="仿宋" w:hAnsi="仿宋" w:eastAsia="仿宋"/>
          <w:sz w:val="32"/>
          <w:szCs w:val="32"/>
        </w:rPr>
        <w:t>5.富有团队精神，创新精神，工作踏实，执行力强。</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textAlignment w:val="auto"/>
        <w:outlineLvl w:val="9"/>
        <w:rPr>
          <w:rFonts w:ascii="FangSong_GB2312" w:hAnsi="FangSong_GB2312" w:eastAsia="FangSong_GB2312"/>
          <w:sz w:val="32"/>
          <w:szCs w:val="32"/>
        </w:rPr>
      </w:pPr>
      <w:r>
        <w:rPr>
          <w:rFonts w:ascii="仿宋" w:hAnsi="仿宋" w:eastAsia="仿宋"/>
          <w:sz w:val="32"/>
          <w:szCs w:val="32"/>
        </w:rPr>
        <w:t>6.适应长期出差或长期派驻公司所实施项目现场。</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textAlignment w:val="auto"/>
        <w:outlineLvl w:val="9"/>
        <w:rPr>
          <w:rFonts w:ascii="KaiTi_GB2312" w:hAnsi="KaiTi_GB2312" w:eastAsia="KaiTi_GB2312"/>
          <w:b/>
          <w:sz w:val="32"/>
          <w:szCs w:val="32"/>
        </w:rPr>
      </w:pPr>
      <w:r>
        <w:rPr>
          <w:rFonts w:ascii="KaiTi_GB2312" w:hAnsi="KaiTi_GB2312" w:eastAsia="楷体"/>
          <w:b w:val="0"/>
          <w:bCs w:val="0"/>
          <w:sz w:val="32"/>
          <w:szCs w:val="32"/>
        </w:rPr>
        <w:t>（三）特别优秀者，条件可适当放宽。</w:t>
      </w:r>
    </w:p>
    <w:p>
      <w:pPr>
        <w:spacing w:line="360" w:lineRule="auto"/>
        <w:ind w:left="638" w:firstLine="3"/>
        <w:rPr>
          <w:rFonts w:asciiTheme="majorEastAsia" w:hAnsiTheme="majorEastAsia" w:eastAsiaTheme="majorEastAsia"/>
          <w:sz w:val="32"/>
          <w:szCs w:val="32"/>
        </w:rPr>
      </w:pPr>
      <w:r>
        <w:rPr>
          <w:rFonts w:asciiTheme="majorEastAsia" w:hAnsiTheme="majorEastAsia" w:eastAsiaTheme="majorEastAsia"/>
          <w:sz w:val="32"/>
          <w:szCs w:val="32"/>
        </w:rPr>
        <w:t>四、</w:t>
      </w:r>
      <w:r>
        <w:rPr>
          <w:rFonts w:asciiTheme="majorEastAsia" w:hAnsiTheme="majorEastAsia" w:eastAsiaTheme="majorEastAsia"/>
          <w:b w:val="0"/>
          <w:bCs w:val="0"/>
          <w:sz w:val="32"/>
          <w:szCs w:val="32"/>
        </w:rPr>
        <w:t>限制条件</w:t>
      </w:r>
    </w:p>
    <w:p>
      <w:pPr>
        <w:spacing w:line="360" w:lineRule="auto"/>
        <w:ind w:left="638" w:firstLine="3"/>
        <w:rPr>
          <w:rFonts w:ascii="FangSong_GB2312" w:hAnsi="FangSong_GB2312" w:eastAsia="FangSong_GB2312" w:cs="FangSong_GB2312"/>
          <w:color w:val="000000" w:themeColor="text1"/>
          <w:sz w:val="32"/>
          <w:szCs w:val="32"/>
          <w14:textFill>
            <w14:solidFill>
              <w14:schemeClr w14:val="tx1"/>
            </w14:solidFill>
          </w14:textFill>
        </w:rPr>
      </w:pPr>
      <w:r>
        <w:rPr>
          <w:rFonts w:ascii="仿宋" w:hAnsi="仿宋" w:eastAsia="仿宋" w:cs="FangSong_GB2312"/>
          <w:color w:val="000000" w:themeColor="text1"/>
          <w:sz w:val="32"/>
          <w:szCs w:val="32"/>
          <w14:textFill>
            <w14:solidFill>
              <w14:schemeClr w14:val="tx1"/>
            </w14:solidFill>
          </w14:textFill>
        </w:rPr>
        <w:t>有以下情形的，视为不符合应聘条件。</w:t>
      </w:r>
    </w:p>
    <w:p>
      <w:pPr>
        <w:spacing w:line="360" w:lineRule="auto"/>
        <w:ind w:left="638" w:firstLine="3"/>
        <w:rPr>
          <w:rFonts w:ascii="FangSong_GB2312" w:hAnsi="FangSong_GB2312" w:eastAsia="FangSong_GB2312" w:cs="FangSong_GB2312"/>
          <w:color w:val="000000" w:themeColor="text1"/>
          <w:sz w:val="32"/>
          <w:szCs w:val="32"/>
          <w14:textFill>
            <w14:solidFill>
              <w14:schemeClr w14:val="tx1"/>
            </w14:solidFill>
          </w14:textFill>
        </w:rPr>
      </w:pPr>
      <w:r>
        <w:rPr>
          <w:rFonts w:ascii="仿宋" w:hAnsi="仿宋" w:eastAsia="仿宋" w:cs="FangSong_GB2312"/>
          <w:color w:val="000000" w:themeColor="text1"/>
          <w:sz w:val="32"/>
          <w:szCs w:val="32"/>
          <w14:textFill>
            <w14:solidFill>
              <w14:schemeClr w14:val="tx1"/>
            </w14:solidFill>
          </w14:textFill>
        </w:rPr>
        <w:t>1.受过刑事处罚的；</w:t>
      </w:r>
    </w:p>
    <w:p>
      <w:pPr>
        <w:spacing w:line="360" w:lineRule="auto"/>
        <w:ind w:firstLine="640"/>
        <w:rPr>
          <w:rFonts w:ascii="FangSong_GB2312" w:hAnsi="FangSong_GB2312" w:eastAsia="FangSong_GB2312" w:cs="FangSong_GB2312"/>
          <w:color w:val="000000" w:themeColor="text1"/>
          <w:sz w:val="32"/>
          <w:szCs w:val="32"/>
          <w14:textFill>
            <w14:solidFill>
              <w14:schemeClr w14:val="tx1"/>
            </w14:solidFill>
          </w14:textFill>
        </w:rPr>
      </w:pPr>
      <w:r>
        <w:rPr>
          <w:rFonts w:ascii="仿宋" w:hAnsi="仿宋" w:eastAsia="仿宋" w:cs="FangSong_GB2312"/>
          <w:color w:val="000000" w:themeColor="text1"/>
          <w:sz w:val="32"/>
          <w:szCs w:val="32"/>
          <w14:textFill>
            <w14:solidFill>
              <w14:schemeClr w14:val="tx1"/>
            </w14:solidFill>
          </w14:textFill>
        </w:rPr>
        <w:t>2.涉嫌违纪违法正在接受组织调查，或被相关主管部门、行业协会作出处罚的；</w:t>
      </w:r>
    </w:p>
    <w:p>
      <w:pPr>
        <w:spacing w:line="360" w:lineRule="auto"/>
        <w:ind w:firstLine="640"/>
        <w:rPr>
          <w:rFonts w:ascii="FangSong_GB2312" w:hAnsi="FangSong_GB2312" w:eastAsia="FangSong_GB2312" w:cs="FangSong_GB2312"/>
          <w:sz w:val="32"/>
          <w:szCs w:val="32"/>
        </w:rPr>
      </w:pPr>
      <w:r>
        <w:rPr>
          <w:rFonts w:ascii="仿宋" w:hAnsi="仿宋" w:eastAsia="仿宋" w:cs="FangSong_GB2312"/>
          <w:sz w:val="32"/>
          <w:szCs w:val="32"/>
        </w:rPr>
        <w:t>3.个人在企业经营管理活动中有重大弄虚作假记录的； </w:t>
      </w:r>
    </w:p>
    <w:p>
      <w:pPr>
        <w:spacing w:line="360" w:lineRule="auto"/>
        <w:ind w:firstLine="640"/>
        <w:rPr>
          <w:rFonts w:ascii="FangSong_GB2312" w:hAnsi="FangSong_GB2312" w:eastAsia="FangSong_GB2312" w:cs="FangSong_GB2312"/>
          <w:color w:val="000000" w:themeColor="text1"/>
          <w:sz w:val="32"/>
          <w:szCs w:val="32"/>
          <w14:textFill>
            <w14:solidFill>
              <w14:schemeClr w14:val="tx1"/>
            </w14:solidFill>
          </w14:textFill>
        </w:rPr>
      </w:pPr>
      <w:r>
        <w:rPr>
          <w:rFonts w:ascii="仿宋" w:hAnsi="仿宋" w:eastAsia="仿宋" w:cs="FangSong_GB2312"/>
          <w:color w:val="000000" w:themeColor="text1"/>
          <w:sz w:val="32"/>
          <w:szCs w:val="32"/>
          <w14:textFill>
            <w14:solidFill>
              <w14:schemeClr w14:val="tx1"/>
            </w14:solidFill>
          </w14:textFill>
        </w:rPr>
        <w:t>4.有《中华人民共和国公司法》第一百四十七条所列情形之一的；</w:t>
      </w:r>
    </w:p>
    <w:p>
      <w:pPr>
        <w:spacing w:line="360" w:lineRule="auto"/>
        <w:ind w:left="638" w:firstLine="3"/>
        <w:rPr>
          <w:rFonts w:ascii="FangSong_GB2312" w:hAnsi="FangSong_GB2312" w:eastAsia="FangSong_GB2312"/>
          <w:sz w:val="32"/>
          <w:szCs w:val="32"/>
        </w:rPr>
      </w:pPr>
      <w:r>
        <w:rPr>
          <w:rFonts w:ascii="仿宋" w:hAnsi="仿宋" w:eastAsia="仿宋" w:cs="FangSong_GB2312"/>
          <w:color w:val="000000" w:themeColor="text1"/>
          <w:sz w:val="32"/>
          <w:szCs w:val="32"/>
          <w14:textFill>
            <w14:solidFill>
              <w14:schemeClr w14:val="tx1"/>
            </w14:solidFill>
          </w14:textFill>
        </w:rPr>
        <w:t>5.其他不宜报名的。</w:t>
      </w:r>
    </w:p>
    <w:p>
      <w:pPr>
        <w:spacing w:line="360" w:lineRule="auto"/>
        <w:ind w:left="638" w:firstLine="3"/>
        <w:rPr>
          <w:rFonts w:ascii="FangSong_GB2312" w:hAnsi="FangSong_GB2312" w:eastAsia="FangSong_GB2312" w:cs="FangSong_GB2312"/>
          <w:color w:val="000000" w:themeColor="text1"/>
          <w:sz w:val="32"/>
          <w:szCs w:val="32"/>
          <w14:textFill>
            <w14:solidFill>
              <w14:schemeClr w14:val="tx1"/>
            </w14:solidFill>
          </w14:textFill>
        </w:rPr>
      </w:pPr>
      <w:r>
        <w:rPr>
          <w:rFonts w:ascii="黑体" w:hAnsi="黑体" w:eastAsia="黑体"/>
          <w:sz w:val="32"/>
          <w:szCs w:val="32"/>
        </w:rPr>
        <w:t>五、招聘程序</w:t>
      </w:r>
    </w:p>
    <w:p>
      <w:pPr>
        <w:tabs>
          <w:tab w:val="left" w:pos="615"/>
        </w:tabs>
        <w:spacing w:line="360" w:lineRule="auto"/>
        <w:ind w:firstLine="640"/>
        <w:rPr>
          <w:rFonts w:ascii="FangSong_GB2312" w:hAnsi="FangSong_GB2312" w:eastAsia="FangSong_GB2312"/>
          <w:sz w:val="32"/>
          <w:szCs w:val="32"/>
        </w:rPr>
      </w:pPr>
      <w:r>
        <w:rPr>
          <w:rFonts w:ascii="FangSong_GB2312" w:hAnsi="FangSong_GB2312" w:eastAsia="仿宋"/>
          <w:sz w:val="32"/>
          <w:szCs w:val="32"/>
        </w:rPr>
        <w:t>招聘工作按照发布公告、报名和资格审查、面试、背景调查、体检、录用等程序进行。</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pPr>
      <w:r>
        <w:rPr>
          <w:rFonts w:ascii="KaiTi_GB2312" w:hAnsi="KaiTi_GB2312" w:eastAsia="楷体"/>
          <w:b w:val="0"/>
          <w:bCs w:val="0"/>
          <w:sz w:val="32"/>
          <w:szCs w:val="32"/>
        </w:rPr>
        <w:t>（一）发布公告</w:t>
      </w:r>
    </w:p>
    <w:p>
      <w:pPr>
        <w:spacing w:line="360" w:lineRule="auto"/>
        <w:ind w:firstLine="0"/>
      </w:pPr>
      <w:r>
        <w:rPr>
          <w:rFonts w:ascii="KaiTi_GB2312" w:hAnsi="KaiTi_GB2312" w:eastAsia="KaiTi_GB2312"/>
          <w:b/>
          <w:sz w:val="32"/>
          <w:szCs w:val="32"/>
        </w:rPr>
        <w:t xml:space="preserve">     </w:t>
      </w:r>
      <w:r>
        <w:rPr>
          <w:rFonts w:ascii="仿宋" w:hAnsi="仿宋" w:eastAsia="仿宋"/>
          <w:sz w:val="32"/>
          <w:szCs w:val="32"/>
        </w:rPr>
        <w:t>2020年9月21日至</w:t>
      </w:r>
      <w:r>
        <w:rPr>
          <w:rFonts w:ascii="仿宋" w:hAnsi="仿宋" w:eastAsia="仿宋"/>
          <w:color w:val="000000"/>
          <w:sz w:val="32"/>
          <w:szCs w:val="32"/>
        </w:rPr>
        <w:t>9月30在川</w:t>
      </w:r>
      <w:r>
        <w:rPr>
          <w:rFonts w:ascii="仿宋" w:hAnsi="仿宋" w:eastAsia="仿宋"/>
          <w:sz w:val="32"/>
          <w:szCs w:val="32"/>
        </w:rPr>
        <w:t>投集团官网、智联招聘同时发布招聘公告。</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ascii="KaiTi_GB2312" w:hAnsi="KaiTi_GB2312" w:eastAsia="KaiTi_GB2312"/>
          <w:b/>
          <w:sz w:val="32"/>
          <w:szCs w:val="32"/>
        </w:rPr>
      </w:pPr>
      <w:r>
        <w:rPr>
          <w:rFonts w:ascii="KaiTi_GB2312" w:hAnsi="KaiTi_GB2312" w:eastAsia="楷体"/>
          <w:b w:val="0"/>
          <w:bCs w:val="0"/>
          <w:sz w:val="32"/>
          <w:szCs w:val="32"/>
        </w:rPr>
        <w:t>（二）报名</w:t>
      </w:r>
    </w:p>
    <w:p>
      <w:pPr>
        <w:spacing w:line="360" w:lineRule="auto"/>
        <w:ind w:firstLine="645"/>
        <w:rPr>
          <w:rFonts w:ascii="仿宋" w:hAnsi="仿宋" w:eastAsia="仿宋"/>
        </w:rPr>
      </w:pPr>
      <w:r>
        <w:rPr>
          <w:rFonts w:ascii="仿宋" w:hAnsi="仿宋" w:eastAsia="仿宋"/>
          <w:sz w:val="32"/>
          <w:szCs w:val="32"/>
        </w:rPr>
        <w:t>1.起止时间：2020年9月</w:t>
      </w:r>
      <w:r>
        <w:rPr>
          <w:rFonts w:ascii="仿宋" w:hAnsi="仿宋" w:eastAsia="仿宋"/>
          <w:color w:val="000000"/>
          <w:sz w:val="32"/>
          <w:szCs w:val="32"/>
        </w:rPr>
        <w:t>21日至9月30日17:00。</w:t>
      </w:r>
    </w:p>
    <w:p>
      <w:pPr>
        <w:spacing w:line="360" w:lineRule="auto"/>
        <w:ind w:firstLine="645"/>
        <w:rPr>
          <w:rFonts w:ascii="FangSong_GB2312" w:hAnsi="FangSong_GB2312" w:eastAsia="FangSong_GB2312"/>
          <w:sz w:val="32"/>
          <w:szCs w:val="32"/>
        </w:rPr>
      </w:pPr>
      <w:r>
        <w:rPr>
          <w:rFonts w:ascii="仿宋" w:hAnsi="仿宋" w:eastAsia="仿宋"/>
          <w:sz w:val="32"/>
          <w:szCs w:val="32"/>
        </w:rPr>
        <w:t>2.报名方式：通过电子邮件的方式报名，邮件主题为“应聘公司+应聘岗位+应聘者姓名”，各类报名资料均以附件形式发送至招聘邮箱：2890098490@qq.com。本次招聘不接受现场报名。</w:t>
      </w:r>
    </w:p>
    <w:p>
      <w:pPr>
        <w:spacing w:line="360" w:lineRule="auto"/>
        <w:ind w:firstLine="645"/>
        <w:rPr>
          <w:rFonts w:ascii="FangSong_GB2312" w:hAnsi="FangSong_GB2312" w:eastAsia="FangSong_GB2312"/>
          <w:sz w:val="32"/>
          <w:szCs w:val="32"/>
        </w:rPr>
      </w:pPr>
      <w:r>
        <w:rPr>
          <w:rFonts w:ascii="仿宋" w:hAnsi="仿宋" w:eastAsia="仿宋"/>
          <w:sz w:val="32"/>
          <w:szCs w:val="32"/>
        </w:rPr>
        <w:t>3.注意事项：</w:t>
      </w:r>
    </w:p>
    <w:p>
      <w:pPr>
        <w:spacing w:line="360" w:lineRule="auto"/>
        <w:ind w:firstLine="645"/>
        <w:rPr>
          <w:rFonts w:ascii="FangSong_GB2312" w:hAnsi="FangSong_GB2312" w:eastAsia="FangSong_GB2312"/>
          <w:sz w:val="32"/>
          <w:szCs w:val="32"/>
        </w:rPr>
      </w:pPr>
      <w:r>
        <w:rPr>
          <w:rFonts w:ascii="仿宋" w:hAnsi="仿宋" w:eastAsia="仿宋"/>
          <w:sz w:val="32"/>
          <w:szCs w:val="32"/>
        </w:rPr>
        <w:t>（1）应聘者须准确完整填写《应聘报名登记表》等资料。</w:t>
      </w:r>
    </w:p>
    <w:p>
      <w:pPr>
        <w:spacing w:line="360" w:lineRule="auto"/>
        <w:ind w:firstLine="645"/>
        <w:rPr>
          <w:rFonts w:ascii="FangSong_GB2312" w:hAnsi="FangSong_GB2312" w:eastAsia="FangSong_GB2312"/>
          <w:sz w:val="32"/>
          <w:szCs w:val="32"/>
        </w:rPr>
      </w:pPr>
      <w:r>
        <w:rPr>
          <w:rFonts w:ascii="仿宋" w:hAnsi="仿宋" w:eastAsia="仿宋"/>
          <w:sz w:val="32"/>
          <w:szCs w:val="32"/>
        </w:rPr>
        <w:t>（2）应聘者需提供：①本人身份证、学历、学位、专业技术资格证书、职（执）业资格证书；②近年来主要工作业绩（成果）、获奖材料；③表明所在企业及个人任职职位、时间等的符合要求的相关材料；④近期电子版2寸证件照。以上所有材料须提供扫描件或复印件，报名材料恕不退回。</w:t>
      </w:r>
    </w:p>
    <w:p>
      <w:pPr>
        <w:spacing w:line="360" w:lineRule="auto"/>
        <w:ind w:firstLine="640"/>
        <w:jc w:val="left"/>
        <w:rPr>
          <w:rFonts w:ascii="FangSong_GB2312" w:hAnsi="FangSong_GB2312" w:eastAsia="FangSong_GB2312"/>
          <w:sz w:val="32"/>
          <w:szCs w:val="32"/>
        </w:rPr>
      </w:pPr>
      <w:r>
        <w:rPr>
          <w:rFonts w:ascii="仿宋" w:hAnsi="仿宋" w:eastAsia="仿宋"/>
          <w:sz w:val="32"/>
          <w:szCs w:val="32"/>
        </w:rPr>
        <w:t>（3）应聘者应对提交材料的完整性和真实性负责，我们承诺对应聘者提交的资料信息严格保密。凡提供不实信息者，一经查实，即取消聘用资格或解除相关协议。</w:t>
      </w:r>
    </w:p>
    <w:p>
      <w:pPr>
        <w:spacing w:line="360" w:lineRule="auto"/>
        <w:ind w:firstLine="640"/>
        <w:jc w:val="left"/>
        <w:rPr>
          <w:rFonts w:ascii="FangSong_GB2312" w:hAnsi="FangSong_GB2312" w:eastAsia="FangSong_GB2312"/>
          <w:b/>
          <w:sz w:val="32"/>
          <w:szCs w:val="32"/>
        </w:rPr>
      </w:pPr>
      <w:r>
        <w:rPr>
          <w:rFonts w:ascii="KaiTi_GB2312" w:hAnsi="KaiTi_GB2312" w:eastAsia="楷体"/>
          <w:b w:val="0"/>
          <w:bCs w:val="0"/>
          <w:sz w:val="32"/>
          <w:szCs w:val="32"/>
        </w:rPr>
        <w:t>（三）资格审查</w:t>
      </w:r>
    </w:p>
    <w:p>
      <w:pPr>
        <w:spacing w:line="360" w:lineRule="auto"/>
        <w:ind w:firstLine="640"/>
        <w:jc w:val="left"/>
        <w:rPr>
          <w:rFonts w:ascii="仿宋" w:hAnsi="仿宋" w:eastAsia="仿宋"/>
        </w:rPr>
      </w:pPr>
      <w:r>
        <w:rPr>
          <w:rFonts w:ascii="仿宋" w:hAnsi="仿宋" w:eastAsia="仿宋"/>
          <w:sz w:val="32"/>
          <w:szCs w:val="32"/>
        </w:rPr>
        <w:t>2020年</w:t>
      </w:r>
      <w:r>
        <w:rPr>
          <w:rFonts w:ascii="仿宋" w:hAnsi="仿宋" w:eastAsia="仿宋"/>
          <w:color w:val="000000"/>
          <w:sz w:val="32"/>
          <w:szCs w:val="32"/>
        </w:rPr>
        <w:t>10月8日</w:t>
      </w:r>
      <w:r>
        <w:rPr>
          <w:rFonts w:ascii="仿宋" w:hAnsi="仿宋" w:eastAsia="仿宋"/>
          <w:sz w:val="32"/>
          <w:szCs w:val="32"/>
        </w:rPr>
        <w:t>前根据确定的基本资格条件和岗位任职条件对报名人选进行资格审查。</w:t>
      </w:r>
    </w:p>
    <w:p>
      <w:pPr>
        <w:tabs>
          <w:tab w:val="left" w:pos="615"/>
        </w:tabs>
        <w:spacing w:line="360" w:lineRule="auto"/>
        <w:ind w:firstLine="640"/>
        <w:rPr>
          <w:rFonts w:ascii="KaiTi_GB2312" w:hAnsi="KaiTi_GB2312" w:eastAsia="KaiTi_GB2312"/>
          <w:b/>
          <w:sz w:val="32"/>
          <w:szCs w:val="32"/>
        </w:rPr>
      </w:pPr>
      <w:r>
        <w:rPr>
          <w:rFonts w:ascii="KaiTi_GB2312" w:hAnsi="KaiTi_GB2312" w:eastAsia="楷体"/>
          <w:b w:val="0"/>
          <w:bCs w:val="0"/>
          <w:sz w:val="32"/>
          <w:szCs w:val="32"/>
        </w:rPr>
        <w:t>（四）面试</w:t>
      </w:r>
    </w:p>
    <w:p>
      <w:pPr>
        <w:tabs>
          <w:tab w:val="left" w:pos="615"/>
        </w:tabs>
        <w:spacing w:line="360" w:lineRule="auto"/>
        <w:ind w:firstLine="640"/>
        <w:rPr>
          <w:rFonts w:ascii="仿宋" w:hAnsi="仿宋" w:eastAsia="仿宋"/>
        </w:rPr>
      </w:pPr>
      <w:r>
        <w:rPr>
          <w:rFonts w:ascii="仿宋" w:hAnsi="仿宋" w:eastAsia="仿宋"/>
          <w:sz w:val="32"/>
          <w:szCs w:val="32"/>
        </w:rPr>
        <w:t>面试时间预计为</w:t>
      </w:r>
      <w:r>
        <w:rPr>
          <w:rFonts w:ascii="仿宋" w:hAnsi="仿宋" w:eastAsia="仿宋"/>
          <w:color w:val="000000"/>
          <w:sz w:val="32"/>
          <w:szCs w:val="32"/>
        </w:rPr>
        <w:t>10月中旬，</w:t>
      </w:r>
      <w:r>
        <w:rPr>
          <w:rFonts w:ascii="仿宋" w:hAnsi="仿宋" w:eastAsia="仿宋"/>
          <w:sz w:val="32"/>
          <w:szCs w:val="32"/>
        </w:rPr>
        <w:t>以电话通知为准。</w:t>
      </w:r>
    </w:p>
    <w:p>
      <w:pPr>
        <w:tabs>
          <w:tab w:val="left" w:pos="615"/>
        </w:tabs>
        <w:spacing w:line="360" w:lineRule="auto"/>
        <w:ind w:firstLine="640"/>
        <w:rPr>
          <w:rFonts w:ascii="KaiTi_GB2312" w:hAnsi="KaiTi_GB2312" w:eastAsia="KaiTi_GB2312"/>
          <w:b/>
          <w:sz w:val="32"/>
          <w:szCs w:val="32"/>
        </w:rPr>
      </w:pPr>
      <w:r>
        <w:rPr>
          <w:rFonts w:ascii="FangSong_GB2312" w:hAnsi="FangSong_GB2312" w:eastAsia="楷体"/>
          <w:b w:val="0"/>
          <w:bCs w:val="0"/>
          <w:sz w:val="32"/>
          <w:szCs w:val="32"/>
        </w:rPr>
        <w:t>（</w:t>
      </w:r>
      <w:r>
        <w:rPr>
          <w:rFonts w:ascii="KaiTi_GB2312" w:hAnsi="KaiTi_GB2312" w:eastAsia="楷体"/>
          <w:b w:val="0"/>
          <w:bCs w:val="0"/>
          <w:sz w:val="32"/>
          <w:szCs w:val="32"/>
        </w:rPr>
        <w:t>五）背调考察</w:t>
      </w:r>
    </w:p>
    <w:p>
      <w:pPr>
        <w:tabs>
          <w:tab w:val="left" w:pos="615"/>
        </w:tabs>
        <w:spacing w:line="360" w:lineRule="auto"/>
        <w:ind w:firstLine="640"/>
        <w:rPr>
          <w:rFonts w:ascii="FangSong_GB2312" w:hAnsi="FangSong_GB2312" w:eastAsia="FangSong_GB2312"/>
          <w:sz w:val="32"/>
          <w:szCs w:val="32"/>
        </w:rPr>
      </w:pPr>
      <w:r>
        <w:rPr>
          <w:rFonts w:ascii="仿宋" w:hAnsi="仿宋" w:eastAsia="仿宋"/>
          <w:sz w:val="32"/>
          <w:szCs w:val="32"/>
        </w:rPr>
        <w:t>根据面试情况，对应聘人员进行背调考察，预计时间为</w:t>
      </w:r>
      <w:r>
        <w:rPr>
          <w:rFonts w:ascii="仿宋" w:hAnsi="仿宋" w:eastAsia="仿宋"/>
          <w:color w:val="000000"/>
          <w:sz w:val="32"/>
          <w:szCs w:val="32"/>
        </w:rPr>
        <w:t>10月</w:t>
      </w:r>
      <w:r>
        <w:rPr>
          <w:rFonts w:ascii="仿宋" w:hAnsi="仿宋" w:eastAsia="仿宋"/>
          <w:sz w:val="32"/>
          <w:szCs w:val="32"/>
        </w:rPr>
        <w:t>中旬。</w:t>
      </w:r>
    </w:p>
    <w:p>
      <w:pPr>
        <w:tabs>
          <w:tab w:val="left" w:pos="615"/>
        </w:tabs>
        <w:spacing w:line="360" w:lineRule="auto"/>
        <w:ind w:firstLine="640"/>
        <w:rPr>
          <w:rFonts w:ascii="KaiTi_GB2312" w:hAnsi="KaiTi_GB2312" w:eastAsia="KaiTi_GB2312"/>
          <w:b/>
          <w:sz w:val="32"/>
          <w:szCs w:val="32"/>
        </w:rPr>
      </w:pPr>
      <w:r>
        <w:rPr>
          <w:rFonts w:ascii="KaiTi_GB2312" w:hAnsi="KaiTi_GB2312" w:eastAsia="楷体"/>
          <w:b w:val="0"/>
          <w:bCs w:val="0"/>
          <w:sz w:val="32"/>
          <w:szCs w:val="32"/>
        </w:rPr>
        <w:t>（六）体检</w:t>
      </w:r>
    </w:p>
    <w:p>
      <w:pPr>
        <w:tabs>
          <w:tab w:val="left" w:pos="615"/>
        </w:tabs>
        <w:spacing w:line="360" w:lineRule="auto"/>
        <w:ind w:firstLine="640"/>
        <w:rPr>
          <w:rFonts w:ascii="FangSong_GB2312" w:hAnsi="FangSong_GB2312" w:eastAsia="FangSong_GB2312"/>
          <w:sz w:val="32"/>
          <w:szCs w:val="32"/>
        </w:rPr>
      </w:pPr>
      <w:r>
        <w:rPr>
          <w:rFonts w:ascii="FangSong_GB2312" w:hAnsi="FangSong_GB2312" w:eastAsia="仿宋"/>
          <w:sz w:val="32"/>
          <w:szCs w:val="32"/>
        </w:rPr>
        <w:t>依据面试成绩，从高分到低分确定体检人员名单，并安排到指定体检机构进行体检（体检费用由应聘者承担）。体检标准参照四川省公务员录用体检标准执行。因体检不合格出现的缺额，按面试成绩从高分到低分依次递补。</w:t>
      </w:r>
    </w:p>
    <w:p>
      <w:pPr>
        <w:tabs>
          <w:tab w:val="left" w:pos="615"/>
        </w:tabs>
        <w:spacing w:line="360" w:lineRule="auto"/>
        <w:ind w:firstLine="640"/>
        <w:rPr>
          <w:rFonts w:ascii="FangSong_GB2312" w:hAnsi="FangSong_GB2312" w:eastAsia="FangSong_GB2312"/>
          <w:sz w:val="32"/>
          <w:szCs w:val="32"/>
        </w:rPr>
      </w:pPr>
      <w:r>
        <w:rPr>
          <w:rFonts w:ascii="FangSong_GB2312" w:hAnsi="FangSong_GB2312" w:eastAsia="仿宋"/>
          <w:sz w:val="32"/>
          <w:szCs w:val="32"/>
        </w:rPr>
        <w:t>体检时间另行通知。</w:t>
      </w:r>
    </w:p>
    <w:p>
      <w:pPr>
        <w:tabs>
          <w:tab w:val="left" w:pos="615"/>
        </w:tabs>
        <w:spacing w:line="360" w:lineRule="auto"/>
        <w:ind w:firstLine="640"/>
        <w:rPr>
          <w:rFonts w:ascii="FangSong_GB2312" w:hAnsi="FangSong_GB2312" w:eastAsia="FangSong_GB2312" w:cs="FangSong_GB2312"/>
          <w:b/>
          <w:color w:val="333333"/>
          <w:sz w:val="32"/>
          <w:szCs w:val="32"/>
        </w:rPr>
      </w:pPr>
      <w:r>
        <w:rPr>
          <w:rFonts w:ascii="KaiTi_GB2312" w:hAnsi="KaiTi_GB2312" w:eastAsia="楷体"/>
          <w:b w:val="0"/>
          <w:bCs w:val="0"/>
          <w:sz w:val="32"/>
          <w:szCs w:val="32"/>
        </w:rPr>
        <w:t>（七）录用</w:t>
      </w:r>
    </w:p>
    <w:p>
      <w:pPr>
        <w:tabs>
          <w:tab w:val="left" w:pos="615"/>
        </w:tabs>
        <w:spacing w:line="360" w:lineRule="auto"/>
        <w:ind w:firstLine="640"/>
        <w:rPr>
          <w:rFonts w:ascii="FangSong_GB2312" w:hAnsi="FangSong_GB2312" w:eastAsia="FangSong_GB2312"/>
          <w:sz w:val="32"/>
          <w:szCs w:val="32"/>
        </w:rPr>
      </w:pPr>
      <w:r>
        <w:rPr>
          <w:rFonts w:ascii="FangSong_GB2312" w:hAnsi="FangSong_GB2312" w:eastAsia="仿宋"/>
          <w:sz w:val="32"/>
          <w:szCs w:val="32"/>
        </w:rPr>
        <w:t>体检合格，发放拟录用通知，候选人按通知要求到公司报到办理相关手续。</w:t>
      </w:r>
    </w:p>
    <w:p>
      <w:pPr>
        <w:keepNext w:val="0"/>
        <w:keepLines w:val="0"/>
        <w:pageBreakBefore w:val="0"/>
        <w:widowControl/>
        <w:tabs>
          <w:tab w:val="left" w:pos="615"/>
        </w:tabs>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六</w:t>
      </w:r>
      <w:r>
        <w:rPr>
          <w:rFonts w:asciiTheme="majorEastAsia" w:hAnsiTheme="majorEastAsia" w:eastAsiaTheme="majorEastAsia"/>
          <w:sz w:val="32"/>
          <w:szCs w:val="32"/>
        </w:rPr>
        <w:t>、薪酬待遇</w:t>
      </w:r>
    </w:p>
    <w:p>
      <w:pPr>
        <w:spacing w:line="360" w:lineRule="auto"/>
        <w:ind w:firstLine="640"/>
        <w:rPr>
          <w:rFonts w:ascii="FangSong_GB2312" w:hAnsi="FangSong_GB2312" w:eastAsia="FangSong_GB2312"/>
          <w:sz w:val="32"/>
          <w:szCs w:val="32"/>
        </w:rPr>
      </w:pPr>
      <w:r>
        <w:rPr>
          <w:rFonts w:ascii="FangSong_GB2312" w:hAnsi="FangSong_GB2312" w:eastAsia="仿宋"/>
          <w:sz w:val="32"/>
          <w:szCs w:val="32"/>
        </w:rPr>
        <w:t>薪酬待遇面议。</w:t>
      </w:r>
      <w:bookmarkStart w:id="0" w:name="_GoBack"/>
      <w:bookmarkEnd w:id="0"/>
    </w:p>
    <w:p>
      <w:pPr>
        <w:spacing w:line="360" w:lineRule="auto"/>
        <w:ind w:firstLine="720"/>
        <w:rPr>
          <w:rFonts w:cs="黑体" w:asciiTheme="majorEastAsia" w:hAnsiTheme="majorEastAsia" w:eastAsiaTheme="majorEastAsia"/>
          <w:color w:val="000000" w:themeColor="text1"/>
          <w:sz w:val="32"/>
          <w:szCs w:val="32"/>
          <w14:textFill>
            <w14:solidFill>
              <w14:schemeClr w14:val="tx1"/>
            </w14:solidFill>
          </w14:textFill>
        </w:rPr>
      </w:pPr>
      <w:r>
        <w:rPr>
          <w:rFonts w:hint="eastAsia" w:cs="黑体" w:asciiTheme="majorEastAsia" w:hAnsiTheme="majorEastAsia" w:eastAsiaTheme="majorEastAsia"/>
          <w:color w:val="000000" w:themeColor="text1"/>
          <w:sz w:val="32"/>
          <w:szCs w:val="32"/>
          <w:lang w:val="en-US" w:eastAsia="zh-CN"/>
          <w14:textFill>
            <w14:solidFill>
              <w14:schemeClr w14:val="tx1"/>
            </w14:solidFill>
          </w14:textFill>
        </w:rPr>
        <w:t>七</w:t>
      </w:r>
      <w:r>
        <w:rPr>
          <w:rFonts w:cs="黑体" w:asciiTheme="majorEastAsia" w:hAnsiTheme="majorEastAsia" w:eastAsiaTheme="majorEastAsia"/>
          <w:color w:val="000000" w:themeColor="text1"/>
          <w:sz w:val="32"/>
          <w:szCs w:val="32"/>
          <w14:textFill>
            <w14:solidFill>
              <w14:schemeClr w14:val="tx1"/>
            </w14:solidFill>
          </w14:textFill>
        </w:rPr>
        <w:t>、其他</w:t>
      </w:r>
    </w:p>
    <w:p>
      <w:pPr>
        <w:spacing w:line="360" w:lineRule="auto"/>
        <w:ind w:firstLine="720"/>
        <w:rPr>
          <w:rFonts w:cs="黑体" w:asciiTheme="majorEastAsia" w:hAnsiTheme="majorEastAsia" w:eastAsiaTheme="majorEastAsia"/>
          <w:color w:val="000000" w:themeColor="text1"/>
          <w:sz w:val="32"/>
          <w:szCs w:val="32"/>
          <w14:textFill>
            <w14:solidFill>
              <w14:schemeClr w14:val="tx1"/>
            </w14:solidFill>
          </w14:textFill>
        </w:rPr>
      </w:pPr>
      <w:r>
        <w:rPr>
          <w:rFonts w:ascii="仿宋" w:hAnsi="仿宋" w:eastAsia="楷体" w:cs="FangSong_GB2312"/>
          <w:color w:val="333333"/>
          <w:sz w:val="32"/>
          <w:szCs w:val="32"/>
        </w:rPr>
        <w:t>（一）</w:t>
      </w:r>
      <w:r>
        <w:rPr>
          <w:rFonts w:ascii="仿宋" w:hAnsi="仿宋" w:eastAsia="仿宋" w:cs="FangSong_GB2312"/>
          <w:color w:val="333333"/>
          <w:sz w:val="32"/>
          <w:szCs w:val="32"/>
        </w:rPr>
        <w:t>本公告的最终解释权归四川川投大健康产业投资有限责任公司所有。</w:t>
      </w:r>
    </w:p>
    <w:p>
      <w:pPr>
        <w:spacing w:line="360" w:lineRule="auto"/>
        <w:ind w:firstLine="720"/>
        <w:rPr>
          <w:rFonts w:ascii="FangSong_GB2312" w:hAnsi="FangSong_GB2312" w:eastAsia="FangSong_GB2312" w:cs="FangSong_GB2312"/>
          <w:color w:val="000000" w:themeColor="text1"/>
          <w:sz w:val="32"/>
          <w:szCs w:val="32"/>
          <w14:textFill>
            <w14:solidFill>
              <w14:schemeClr w14:val="tx1"/>
            </w14:solidFill>
          </w14:textFill>
        </w:rPr>
      </w:pPr>
      <w:r>
        <w:rPr>
          <w:rFonts w:ascii="仿宋" w:hAnsi="仿宋" w:eastAsia="楷体" w:cs="FangSong_GB2312"/>
          <w:color w:val="000000" w:themeColor="text1"/>
          <w:sz w:val="32"/>
          <w:szCs w:val="32"/>
          <w14:textFill>
            <w14:solidFill>
              <w14:schemeClr w14:val="tx1"/>
            </w14:solidFill>
          </w14:textFill>
        </w:rPr>
        <w:t>（二）联系方式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ascii="FangSong_GB2312" w:hAnsi="FangSong_GB2312" w:eastAsia="FangSong_GB2312" w:cs="FangSong_GB2312"/>
          <w:color w:val="000000" w:themeColor="text1"/>
          <w:sz w:val="32"/>
          <w:szCs w:val="32"/>
          <w14:textFill>
            <w14:solidFill>
              <w14:schemeClr w14:val="tx1"/>
            </w14:solidFill>
          </w14:textFill>
        </w:rPr>
      </w:pPr>
      <w:r>
        <w:rPr>
          <w:rFonts w:ascii="仿宋" w:hAnsi="仿宋" w:eastAsia="仿宋" w:cs="FangSong_GB2312"/>
          <w:color w:val="000000" w:themeColor="text1"/>
          <w:sz w:val="32"/>
          <w:szCs w:val="32"/>
          <w14:textFill>
            <w14:solidFill>
              <w14:schemeClr w14:val="tx1"/>
            </w14:solidFill>
          </w14:textFill>
        </w:rPr>
        <w:t>报名联系人：罗敏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ascii="仿宋" w:hAnsi="仿宋" w:eastAsia="仿宋"/>
        </w:rPr>
      </w:pPr>
      <w:r>
        <w:rPr>
          <w:rFonts w:ascii="仿宋" w:hAnsi="仿宋" w:eastAsia="仿宋" w:cs="FangSong_GB2312"/>
          <w:color w:val="000000" w:themeColor="text1"/>
          <w:sz w:val="32"/>
          <w:szCs w:val="32"/>
          <w14:textFill>
            <w14:solidFill>
              <w14:schemeClr w14:val="tx1"/>
            </w14:solidFill>
          </w14:textFill>
        </w:rPr>
        <w:t>联系电话：028-86098736      18280462868</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ascii="仿宋" w:hAnsi="仿宋" w:eastAsia="仿宋"/>
        </w:rPr>
      </w:pPr>
      <w:r>
        <w:rPr>
          <w:rFonts w:ascii="仿宋" w:hAnsi="仿宋" w:eastAsia="仿宋" w:cs="FangSong_GB2312"/>
          <w:color w:val="000000" w:themeColor="text1"/>
          <w:sz w:val="32"/>
          <w:szCs w:val="32"/>
          <w14:textFill>
            <w14:solidFill>
              <w14:schemeClr w14:val="tx1"/>
            </w14:solidFill>
          </w14:textFill>
        </w:rPr>
        <w:t>附件：应聘报名登记表</w:t>
      </w:r>
    </w:p>
    <w:p>
      <w:pPr>
        <w:spacing w:line="360" w:lineRule="auto"/>
        <w:jc w:val="center"/>
        <w:rPr>
          <w:rFonts w:ascii="FangSong_GB2312" w:hAnsi="FangSong_GB2312" w:eastAsia="FangSong_GB2312" w:cs="FangSong_GB2312"/>
          <w:color w:val="000000" w:themeColor="text1"/>
          <w:sz w:val="32"/>
          <w:szCs w:val="32"/>
          <w14:textFill>
            <w14:solidFill>
              <w14:schemeClr w14:val="tx1"/>
            </w14:solidFill>
          </w14:textFill>
        </w:rPr>
      </w:pPr>
    </w:p>
    <w:p>
      <w:pPr>
        <w:spacing w:line="360" w:lineRule="auto"/>
        <w:jc w:val="center"/>
        <w:rPr>
          <w:rFonts w:ascii="FangSong_GB2312" w:hAnsi="FangSong_GB2312" w:eastAsia="FangSong_GB2312" w:cs="FangSong_GB2312"/>
          <w:color w:val="000000" w:themeColor="text1"/>
          <w:sz w:val="32"/>
          <w:szCs w:val="32"/>
          <w14:textFill>
            <w14:solidFill>
              <w14:schemeClr w14:val="tx1"/>
            </w14:solidFill>
          </w14:textFill>
        </w:rPr>
      </w:pPr>
    </w:p>
    <w:p>
      <w:pPr>
        <w:spacing w:line="360" w:lineRule="auto"/>
        <w:jc w:val="right"/>
        <w:rPr>
          <w:rFonts w:ascii="FangSong_GB2312" w:hAnsi="FangSong_GB2312" w:eastAsia="FangSong_GB2312" w:cs="仿宋"/>
          <w:color w:val="000000"/>
          <w:sz w:val="32"/>
          <w:szCs w:val="32"/>
        </w:rPr>
      </w:pPr>
      <w:r>
        <w:rPr>
          <w:rFonts w:ascii="仿宋" w:hAnsi="仿宋" w:eastAsia="仿宋" w:cs="仿宋"/>
          <w:color w:val="000000"/>
          <w:sz w:val="32"/>
          <w:szCs w:val="32"/>
        </w:rPr>
        <w:t>四川川投大健康产业投资有限责任公司</w:t>
      </w:r>
    </w:p>
    <w:p>
      <w:pPr>
        <w:spacing w:line="360" w:lineRule="auto"/>
        <w:ind w:right="1440" w:firstLine="0"/>
        <w:jc w:val="right"/>
        <w:rPr>
          <w:rFonts w:ascii="仿宋" w:hAnsi="仿宋" w:eastAsia="仿宋"/>
        </w:rPr>
      </w:pPr>
      <w:r>
        <w:rPr>
          <w:rFonts w:ascii="仿宋" w:hAnsi="仿宋" w:eastAsia="仿宋"/>
          <w:color w:val="000000"/>
          <w:sz w:val="32"/>
          <w:szCs w:val="32"/>
        </w:rPr>
        <w:t>2020年9月21日</w:t>
      </w:r>
    </w:p>
    <w:p>
      <w:pPr>
        <w:jc w:val="left"/>
        <w:rPr>
          <w:rFonts w:cs="宋体" w:asciiTheme="majorEastAsia" w:hAnsiTheme="majorEastAsia" w:eastAsiaTheme="majorEastAsia"/>
          <w:sz w:val="32"/>
          <w:szCs w:val="32"/>
        </w:rPr>
      </w:pPr>
      <w:r>
        <w:rPr>
          <w:rFonts w:cs="宋体" w:asciiTheme="majorEastAsia" w:hAnsiTheme="majorEastAsia" w:eastAsiaTheme="majorEastAsia"/>
          <w:sz w:val="32"/>
          <w:szCs w:val="32"/>
        </w:rPr>
        <w:t>附件：</w:t>
      </w:r>
    </w:p>
    <w:p>
      <w:pPr>
        <w:jc w:val="center"/>
        <w:rPr>
          <w:rFonts w:ascii="方正小标宋简体" w:hAnsi="方正小标宋简体" w:eastAsia="方正小标宋简体" w:cs="宋体"/>
          <w:b/>
          <w:sz w:val="36"/>
          <w:szCs w:val="36"/>
        </w:rPr>
      </w:pPr>
      <w:r>
        <w:rPr>
          <w:rFonts w:ascii="方正小标宋简体" w:hAnsi="方正小标宋简体" w:eastAsia="方正小标宋简体" w:cs="宋体"/>
          <w:b/>
          <w:sz w:val="36"/>
          <w:szCs w:val="36"/>
        </w:rPr>
        <w:t>四川川投大健康产业投资有限责任公司</w:t>
      </w:r>
    </w:p>
    <w:p>
      <w:pPr>
        <w:jc w:val="center"/>
        <w:rPr>
          <w:rFonts w:ascii="方正小标宋简体" w:hAnsi="方正小标宋简体" w:eastAsia="方正小标宋简体" w:cs="宋体"/>
          <w:b/>
          <w:sz w:val="36"/>
          <w:szCs w:val="36"/>
        </w:rPr>
      </w:pPr>
      <w:r>
        <w:rPr>
          <w:rFonts w:ascii="方正小标宋简体" w:hAnsi="方正小标宋简体" w:eastAsia="方正小标宋简体" w:cs="宋体"/>
          <w:b/>
          <w:sz w:val="36"/>
          <w:szCs w:val="36"/>
        </w:rPr>
        <w:t>应聘报名登记表</w:t>
      </w:r>
    </w:p>
    <w:p>
      <w:pPr>
        <w:ind w:right="480" w:firstLine="0"/>
        <w:jc w:val="center"/>
        <w:rPr>
          <w:rFonts w:ascii="FangSong_GB2312" w:hAnsi="FangSong_GB2312" w:eastAsia="FangSong_GB2312" w:cs="等线"/>
          <w:sz w:val="32"/>
          <w:szCs w:val="32"/>
        </w:rPr>
      </w:pPr>
    </w:p>
    <w:tbl>
      <w:tblPr>
        <w:tblStyle w:val="31"/>
        <w:tblW w:w="10109" w:type="dxa"/>
        <w:jc w:val="center"/>
        <w:tblInd w:w="0" w:type="dxa"/>
        <w:tblLayout w:type="fixed"/>
        <w:tblCellMar>
          <w:top w:w="0" w:type="dxa"/>
          <w:left w:w="108" w:type="dxa"/>
          <w:bottom w:w="0" w:type="dxa"/>
          <w:right w:w="108" w:type="dxa"/>
        </w:tblCellMar>
      </w:tblPr>
      <w:tblGrid>
        <w:gridCol w:w="1358"/>
        <w:gridCol w:w="1483"/>
        <w:gridCol w:w="1"/>
        <w:gridCol w:w="1258"/>
        <w:gridCol w:w="903"/>
        <w:gridCol w:w="289"/>
        <w:gridCol w:w="1"/>
        <w:gridCol w:w="1"/>
        <w:gridCol w:w="2"/>
        <w:gridCol w:w="960"/>
        <w:gridCol w:w="372"/>
        <w:gridCol w:w="1"/>
        <w:gridCol w:w="1"/>
        <w:gridCol w:w="2"/>
        <w:gridCol w:w="1424"/>
        <w:gridCol w:w="7"/>
        <w:gridCol w:w="2046"/>
      </w:tblGrid>
      <w:tr>
        <w:tblPrEx>
          <w:tblLayout w:type="fixed"/>
          <w:tblCellMar>
            <w:top w:w="0" w:type="dxa"/>
            <w:left w:w="108" w:type="dxa"/>
            <w:bottom w:w="0" w:type="dxa"/>
            <w:right w:w="108" w:type="dxa"/>
          </w:tblCellMar>
        </w:tblPrEx>
        <w:trPr>
          <w:cantSplit/>
          <w:trHeight w:val="589" w:hRule="atLeast"/>
          <w:jc w:val="center"/>
        </w:trPr>
        <w:tc>
          <w:tcPr>
            <w:tcW w:w="806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r>
              <w:rPr>
                <w:rFonts w:ascii="FangSong_GB2312" w:hAnsi="FangSong_GB2312" w:eastAsia="FangSong_GB2312" w:cs="Arial"/>
                <w:sz w:val="24"/>
              </w:rPr>
              <w:t xml:space="preserve">应聘职位： </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r>
      <w:tr>
        <w:tblPrEx>
          <w:tblLayout w:type="fixed"/>
          <w:tblCellMar>
            <w:top w:w="0" w:type="dxa"/>
            <w:left w:w="108" w:type="dxa"/>
            <w:bottom w:w="0" w:type="dxa"/>
            <w:right w:w="108" w:type="dxa"/>
          </w:tblCellMar>
        </w:tblPrEx>
        <w:trPr>
          <w:cantSplit/>
          <w:trHeight w:val="567"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姓名</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性别</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出生年月</w:t>
            </w:r>
          </w:p>
        </w:tc>
        <w:tc>
          <w:tcPr>
            <w:tcW w:w="14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FangSong_GB2312"/>
                <w:sz w:val="24"/>
              </w:rPr>
            </w:pPr>
          </w:p>
        </w:tc>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FangSong_GB2312"/>
                <w:sz w:val="24"/>
              </w:rPr>
            </w:pPr>
          </w:p>
        </w:tc>
      </w:tr>
      <w:tr>
        <w:tblPrEx>
          <w:tblLayout w:type="fixed"/>
          <w:tblCellMar>
            <w:top w:w="0" w:type="dxa"/>
            <w:left w:w="108" w:type="dxa"/>
            <w:bottom w:w="0" w:type="dxa"/>
            <w:right w:w="108" w:type="dxa"/>
          </w:tblCellMar>
        </w:tblPrEx>
        <w:trPr>
          <w:cantSplit/>
          <w:trHeight w:val="567"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民族</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籍贯</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出生地</w:t>
            </w:r>
          </w:p>
        </w:tc>
        <w:tc>
          <w:tcPr>
            <w:tcW w:w="14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FangSong_GB2312" w:hAnsi="FangSong_GB2312" w:eastAsia="FangSong_GB2312" w:cs="Arial"/>
                <w:sz w:val="24"/>
              </w:rPr>
            </w:pPr>
          </w:p>
        </w:tc>
      </w:tr>
      <w:tr>
        <w:tblPrEx>
          <w:tblLayout w:type="fixed"/>
          <w:tblCellMar>
            <w:top w:w="0" w:type="dxa"/>
            <w:left w:w="108" w:type="dxa"/>
            <w:bottom w:w="0" w:type="dxa"/>
            <w:right w:w="108" w:type="dxa"/>
          </w:tblCellMar>
        </w:tblPrEx>
        <w:trPr>
          <w:cantSplit/>
          <w:trHeight w:val="559"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pPr>
              <w:jc w:val="center"/>
              <w:rPr>
                <w:rFonts w:ascii="FangSong_GB2312" w:hAnsi="FangSong_GB2312" w:eastAsia="FangSong_GB2312" w:cs="Arial"/>
                <w:sz w:val="24"/>
              </w:rPr>
            </w:pPr>
            <w:r>
              <w:rPr>
                <w:rFonts w:ascii="FangSong_GB2312" w:hAnsi="FangSong_GB2312" w:eastAsia="FangSong_GB2312" w:cs="Arial"/>
                <w:sz w:val="24"/>
              </w:rPr>
              <w:t>婚姻状况</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政治面貌</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入党时间</w:t>
            </w:r>
          </w:p>
        </w:tc>
        <w:tc>
          <w:tcPr>
            <w:tcW w:w="14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jc w:val="center"/>
              <w:rPr>
                <w:rFonts w:ascii="FangSong_GB2312" w:hAnsi="FangSong_GB2312" w:eastAsia="FangSong_GB2312" w:cs="Arial"/>
                <w:sz w:val="24"/>
              </w:rPr>
            </w:pPr>
          </w:p>
        </w:tc>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FangSong_GB2312" w:hAnsi="FangSong_GB2312" w:eastAsia="FangSong_GB2312" w:cs="Arial"/>
                <w:sz w:val="24"/>
              </w:rPr>
            </w:pPr>
          </w:p>
        </w:tc>
      </w:tr>
      <w:tr>
        <w:tblPrEx>
          <w:tblLayout w:type="fixed"/>
          <w:tblCellMar>
            <w:top w:w="0" w:type="dxa"/>
            <w:left w:w="108" w:type="dxa"/>
            <w:bottom w:w="0" w:type="dxa"/>
            <w:right w:w="108" w:type="dxa"/>
          </w:tblCellMar>
        </w:tblPrEx>
        <w:trPr>
          <w:cantSplit/>
          <w:trHeight w:val="600"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参加工作时间</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健康状况</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身份证号</w:t>
            </w:r>
          </w:p>
        </w:tc>
        <w:tc>
          <w:tcPr>
            <w:tcW w:w="34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r>
      <w:tr>
        <w:tblPrEx>
          <w:tblLayout w:type="fixed"/>
          <w:tblCellMar>
            <w:top w:w="0" w:type="dxa"/>
            <w:left w:w="108" w:type="dxa"/>
            <w:bottom w:w="0" w:type="dxa"/>
            <w:right w:w="108" w:type="dxa"/>
          </w:tblCellMar>
        </w:tblPrEx>
        <w:trPr>
          <w:cantSplit/>
          <w:trHeight w:val="491" w:hRule="atLeast"/>
          <w:jc w:val="center"/>
        </w:trPr>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联系</w:t>
            </w:r>
          </w:p>
          <w:p>
            <w:pPr>
              <w:jc w:val="center"/>
              <w:rPr>
                <w:rFonts w:ascii="FangSong_GB2312" w:hAnsi="FangSong_GB2312" w:eastAsia="FangSong_GB2312" w:cs="Arial"/>
                <w:sz w:val="24"/>
              </w:rPr>
            </w:pPr>
            <w:r>
              <w:rPr>
                <w:rFonts w:ascii="FangSong_GB2312" w:hAnsi="FangSong_GB2312" w:eastAsia="FangSong_GB2312" w:cs="Arial"/>
                <w:sz w:val="24"/>
              </w:rPr>
              <w:t>方式</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手机</w:t>
            </w:r>
          </w:p>
        </w:tc>
        <w:tc>
          <w:tcPr>
            <w:tcW w:w="24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邮箱</w:t>
            </w:r>
          </w:p>
        </w:tc>
        <w:tc>
          <w:tcPr>
            <w:tcW w:w="3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FangSong_GB2312"/>
                <w:sz w:val="24"/>
              </w:rPr>
            </w:pPr>
          </w:p>
        </w:tc>
      </w:tr>
      <w:tr>
        <w:tblPrEx>
          <w:tblLayout w:type="fixed"/>
          <w:tblCellMar>
            <w:top w:w="0" w:type="dxa"/>
            <w:left w:w="108" w:type="dxa"/>
            <w:bottom w:w="0" w:type="dxa"/>
            <w:right w:w="108" w:type="dxa"/>
          </w:tblCellMar>
        </w:tblPrEx>
        <w:trPr>
          <w:cantSplit/>
          <w:trHeight w:val="688"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FangSong_GB2312"/>
                <w:sz w:val="24"/>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通讯地址</w:t>
            </w:r>
          </w:p>
        </w:tc>
        <w:tc>
          <w:tcPr>
            <w:tcW w:w="726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FangSong_GB2312"/>
                <w:sz w:val="24"/>
              </w:rPr>
            </w:pPr>
          </w:p>
        </w:tc>
      </w:tr>
      <w:tr>
        <w:tblPrEx>
          <w:tblLayout w:type="fixed"/>
          <w:tblCellMar>
            <w:top w:w="0" w:type="dxa"/>
            <w:left w:w="108" w:type="dxa"/>
            <w:bottom w:w="0" w:type="dxa"/>
            <w:right w:w="108" w:type="dxa"/>
          </w:tblCellMar>
        </w:tblPrEx>
        <w:trPr>
          <w:cantSplit/>
          <w:trHeight w:val="1021"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专业技</w:t>
            </w:r>
          </w:p>
          <w:p>
            <w:pPr>
              <w:jc w:val="center"/>
              <w:rPr>
                <w:rFonts w:ascii="FangSong_GB2312" w:hAnsi="FangSong_GB2312" w:eastAsia="FangSong_GB2312" w:cs="Arial"/>
                <w:sz w:val="24"/>
              </w:rPr>
            </w:pPr>
            <w:r>
              <w:rPr>
                <w:rFonts w:ascii="FangSong_GB2312" w:hAnsi="FangSong_GB2312" w:eastAsia="FangSong_GB2312" w:cs="Arial"/>
                <w:sz w:val="24"/>
              </w:rPr>
              <w:t>术职务</w:t>
            </w:r>
          </w:p>
        </w:tc>
        <w:tc>
          <w:tcPr>
            <w:tcW w:w="39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rPr>
                <w:rFonts w:ascii="FangSong_GB2312" w:hAnsi="FangSong_GB2312" w:eastAsia="FangSong_GB2312" w:cs="Arial"/>
                <w:sz w:val="24"/>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职业资格</w:t>
            </w:r>
          </w:p>
          <w:p>
            <w:pPr>
              <w:jc w:val="center"/>
              <w:rPr>
                <w:rFonts w:ascii="FangSong_GB2312" w:hAnsi="FangSong_GB2312" w:eastAsia="FangSong_GB2312" w:cs="Arial"/>
                <w:sz w:val="24"/>
              </w:rPr>
            </w:pPr>
            <w:r>
              <w:rPr>
                <w:rFonts w:ascii="FangSong_GB2312" w:hAnsi="FangSong_GB2312" w:eastAsia="FangSong_GB2312" w:cs="Arial"/>
                <w:sz w:val="24"/>
              </w:rPr>
              <w:t>证书</w:t>
            </w:r>
          </w:p>
        </w:tc>
        <w:tc>
          <w:tcPr>
            <w:tcW w:w="34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jc w:val="left"/>
              <w:rPr>
                <w:rFonts w:ascii="FangSong_GB2312" w:hAnsi="FangSong_GB2312" w:eastAsia="FangSong_GB2312" w:cs="Arial"/>
                <w:sz w:val="24"/>
              </w:rPr>
            </w:pPr>
          </w:p>
        </w:tc>
      </w:tr>
      <w:tr>
        <w:tblPrEx>
          <w:tblLayout w:type="fixed"/>
          <w:tblCellMar>
            <w:top w:w="0" w:type="dxa"/>
            <w:left w:w="108" w:type="dxa"/>
            <w:bottom w:w="0" w:type="dxa"/>
            <w:right w:w="108" w:type="dxa"/>
          </w:tblCellMar>
        </w:tblPrEx>
        <w:trPr>
          <w:cantSplit/>
          <w:trHeight w:val="614" w:hRule="atLeast"/>
          <w:jc w:val="center"/>
        </w:trPr>
        <w:tc>
          <w:tcPr>
            <w:tcW w:w="5296" w:type="dxa"/>
            <w:gridSpan w:val="9"/>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pPr>
              <w:jc w:val="left"/>
              <w:rPr>
                <w:rFonts w:ascii="FangSong_GB2312" w:hAnsi="FangSong_GB2312" w:eastAsia="FangSong_GB2312" w:cs="Arial"/>
                <w:sz w:val="24"/>
              </w:rPr>
            </w:pPr>
            <w:r>
              <w:rPr>
                <w:rFonts w:ascii="FangSong_GB2312" w:hAnsi="FangSong_GB2312" w:eastAsia="FangSong_GB2312" w:cs="Arial"/>
                <w:sz w:val="24"/>
              </w:rPr>
              <w:t>外语语种及水平：</w:t>
            </w:r>
          </w:p>
        </w:tc>
        <w:tc>
          <w:tcPr>
            <w:tcW w:w="48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r>
              <w:rPr>
                <w:rFonts w:ascii="FangSong_GB2312" w:hAnsi="FangSong_GB2312" w:eastAsia="FangSong_GB2312" w:cs="Arial"/>
                <w:sz w:val="24"/>
              </w:rPr>
              <w:t>熟悉专业及何特长：</w:t>
            </w:r>
          </w:p>
        </w:tc>
      </w:tr>
      <w:tr>
        <w:tblPrEx>
          <w:tblLayout w:type="fixed"/>
          <w:tblCellMar>
            <w:top w:w="0" w:type="dxa"/>
            <w:left w:w="108" w:type="dxa"/>
            <w:bottom w:w="0" w:type="dxa"/>
            <w:right w:w="108" w:type="dxa"/>
          </w:tblCellMar>
        </w:tblPrEx>
        <w:trPr>
          <w:cantSplit/>
          <w:trHeight w:val="753" w:hRule="atLeast"/>
          <w:jc w:val="center"/>
        </w:trPr>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学历</w:t>
            </w:r>
          </w:p>
          <w:p>
            <w:pPr>
              <w:jc w:val="center"/>
              <w:rPr>
                <w:rFonts w:ascii="FangSong_GB2312" w:hAnsi="FangSong_GB2312" w:eastAsia="FangSong_GB2312" w:cs="Arial"/>
                <w:sz w:val="24"/>
              </w:rPr>
            </w:pPr>
            <w:r>
              <w:rPr>
                <w:rFonts w:ascii="FangSong_GB2312" w:hAnsi="FangSong_GB2312" w:eastAsia="FangSong_GB2312" w:cs="Arial"/>
                <w:sz w:val="24"/>
              </w:rPr>
              <w:t>学位</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全日制</w:t>
            </w:r>
          </w:p>
          <w:p>
            <w:pPr>
              <w:jc w:val="center"/>
              <w:rPr>
                <w:rFonts w:ascii="FangSong_GB2312" w:hAnsi="FangSong_GB2312" w:eastAsia="FangSong_GB2312" w:cs="Arial"/>
                <w:sz w:val="24"/>
              </w:rPr>
            </w:pPr>
            <w:r>
              <w:rPr>
                <w:rFonts w:ascii="FangSong_GB2312" w:hAnsi="FangSong_GB2312" w:eastAsia="FangSong_GB2312" w:cs="Arial"/>
                <w:sz w:val="24"/>
              </w:rPr>
              <w:t>教育</w:t>
            </w:r>
          </w:p>
        </w:tc>
        <w:tc>
          <w:tcPr>
            <w:tcW w:w="24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毕业院校系及专业</w:t>
            </w:r>
          </w:p>
        </w:tc>
        <w:tc>
          <w:tcPr>
            <w:tcW w:w="3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FangSong_GB2312"/>
                <w:sz w:val="24"/>
              </w:rPr>
            </w:pPr>
          </w:p>
        </w:tc>
      </w:tr>
      <w:tr>
        <w:tblPrEx>
          <w:tblLayout w:type="fixed"/>
          <w:tblCellMar>
            <w:top w:w="0" w:type="dxa"/>
            <w:left w:w="108" w:type="dxa"/>
            <w:bottom w:w="0" w:type="dxa"/>
            <w:right w:w="108" w:type="dxa"/>
          </w:tblCellMar>
        </w:tblPrEx>
        <w:trPr>
          <w:cantSplit/>
          <w:trHeight w:val="903"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FangSong_GB2312"/>
                <w:sz w:val="24"/>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在职</w:t>
            </w:r>
          </w:p>
          <w:p>
            <w:pPr>
              <w:jc w:val="center"/>
              <w:rPr>
                <w:rFonts w:ascii="FangSong_GB2312" w:hAnsi="FangSong_GB2312" w:eastAsia="FangSong_GB2312" w:cs="Arial"/>
                <w:sz w:val="24"/>
              </w:rPr>
            </w:pPr>
            <w:r>
              <w:rPr>
                <w:rFonts w:ascii="FangSong_GB2312" w:hAnsi="FangSong_GB2312" w:eastAsia="FangSong_GB2312" w:cs="Arial"/>
                <w:sz w:val="24"/>
              </w:rPr>
              <w:t>教育</w:t>
            </w:r>
          </w:p>
        </w:tc>
        <w:tc>
          <w:tcPr>
            <w:tcW w:w="24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毕业院校系及专业</w:t>
            </w:r>
          </w:p>
        </w:tc>
        <w:tc>
          <w:tcPr>
            <w:tcW w:w="3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r>
      <w:tr>
        <w:tblPrEx>
          <w:tblLayout w:type="fixed"/>
          <w:tblCellMar>
            <w:top w:w="0" w:type="dxa"/>
            <w:left w:w="108" w:type="dxa"/>
            <w:bottom w:w="0" w:type="dxa"/>
            <w:right w:w="108" w:type="dxa"/>
          </w:tblCellMar>
        </w:tblPrEx>
        <w:trPr>
          <w:trHeight w:val="700"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现工作单位</w:t>
            </w:r>
          </w:p>
        </w:tc>
        <w:tc>
          <w:tcPr>
            <w:tcW w:w="39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pPr>
              <w:rPr>
                <w:rFonts w:ascii="FangSong_GB2312" w:hAnsi="FangSong_GB2312" w:eastAsia="FangSong_GB2312" w:cs="Arial"/>
                <w:spacing w:val="-7"/>
                <w:sz w:val="24"/>
              </w:rPr>
            </w:pPr>
            <w:r>
              <w:rPr>
                <w:rFonts w:ascii="FangSong_GB2312" w:hAnsi="FangSong_GB2312" w:eastAsia="FangSong_GB2312" w:cs="Arial"/>
                <w:spacing w:val="-8"/>
                <w:sz w:val="24"/>
              </w:rPr>
              <w:t>职务或岗位</w:t>
            </w:r>
          </w:p>
        </w:tc>
        <w:tc>
          <w:tcPr>
            <w:tcW w:w="34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r>
      <w:tr>
        <w:tblPrEx>
          <w:tblLayout w:type="fixed"/>
          <w:tblCellMar>
            <w:top w:w="0" w:type="dxa"/>
            <w:left w:w="108" w:type="dxa"/>
            <w:bottom w:w="0" w:type="dxa"/>
            <w:right w:w="108" w:type="dxa"/>
          </w:tblCellMar>
        </w:tblPrEx>
        <w:trPr>
          <w:trHeight w:val="1832"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tcMar>
              <w:left w:w="28" w:type="dxa"/>
              <w:right w:w="28" w:type="dxa"/>
            </w:tcMar>
            <w:vAlign w:val="center"/>
          </w:tcPr>
          <w:p>
            <w:pPr>
              <w:jc w:val="center"/>
              <w:rPr>
                <w:rFonts w:ascii="FangSong_GB2312" w:hAnsi="FangSong_GB2312" w:eastAsia="FangSong_GB2312" w:cs="Arial"/>
                <w:sz w:val="24"/>
              </w:rPr>
            </w:pPr>
            <w:r>
              <w:rPr>
                <w:rFonts w:ascii="FangSong_GB2312" w:hAnsi="FangSong_GB2312" w:eastAsia="FangSong_GB2312" w:cs="Arial"/>
                <w:sz w:val="24"/>
              </w:rPr>
              <w:t>主要工作业绩（可附页说明及业绩证明材料）</w:t>
            </w:r>
          </w:p>
        </w:tc>
        <w:tc>
          <w:tcPr>
            <w:tcW w:w="875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r>
      <w:tr>
        <w:tblPrEx>
          <w:tblLayout w:type="fixed"/>
          <w:tblCellMar>
            <w:top w:w="0" w:type="dxa"/>
            <w:left w:w="108" w:type="dxa"/>
            <w:bottom w:w="0" w:type="dxa"/>
            <w:right w:w="108" w:type="dxa"/>
          </w:tblCellMar>
        </w:tblPrEx>
        <w:trPr>
          <w:trHeight w:val="690" w:hRule="atLeast"/>
          <w:jc w:val="center"/>
        </w:trPr>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期望最低薪酬</w:t>
            </w:r>
          </w:p>
        </w:tc>
        <w:tc>
          <w:tcPr>
            <w:tcW w:w="24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FangSong_GB2312"/>
                <w:sz w:val="24"/>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r>
              <w:rPr>
                <w:rFonts w:ascii="FangSong_GB2312" w:hAnsi="FangSong_GB2312" w:eastAsia="FangSong_GB2312" w:cs="Arial"/>
                <w:sz w:val="24"/>
              </w:rPr>
              <w:t>到岗日期</w:t>
            </w:r>
          </w:p>
        </w:tc>
        <w:tc>
          <w:tcPr>
            <w:tcW w:w="3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rPr>
                <w:rFonts w:eastAsia="FangSong_GB2312"/>
                <w:sz w:val="24"/>
              </w:rPr>
            </w:pPr>
            <w:r>
              <w:rPr>
                <w:rFonts w:eastAsia="FangSong_GB2312"/>
                <w:sz w:val="24"/>
              </w:rPr>
              <w:t xml:space="preserve"> </w:t>
            </w:r>
          </w:p>
        </w:tc>
      </w:tr>
      <w:tr>
        <w:tblPrEx>
          <w:tblLayout w:type="fixed"/>
          <w:tblCellMar>
            <w:top w:w="0" w:type="dxa"/>
            <w:left w:w="108" w:type="dxa"/>
            <w:bottom w:w="0" w:type="dxa"/>
            <w:right w:w="108" w:type="dxa"/>
          </w:tblCellMar>
        </w:tblPrEx>
        <w:trPr>
          <w:trHeight w:val="709" w:hRule="atLeast"/>
          <w:jc w:val="center"/>
        </w:trPr>
        <w:tc>
          <w:tcPr>
            <w:tcW w:w="1010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r>
              <w:rPr>
                <w:rFonts w:ascii="FangSong_GB2312" w:hAnsi="FangSong_GB2312" w:eastAsia="FangSong_GB2312" w:cs="Arial"/>
                <w:sz w:val="24"/>
              </w:rPr>
              <w:t xml:space="preserve">有无违法违纪记录，原因及处理结果（如有）： </w:t>
            </w:r>
          </w:p>
        </w:tc>
      </w:tr>
      <w:tr>
        <w:tblPrEx>
          <w:tblLayout w:type="fixed"/>
          <w:tblCellMar>
            <w:top w:w="0" w:type="dxa"/>
            <w:left w:w="108" w:type="dxa"/>
            <w:bottom w:w="0" w:type="dxa"/>
            <w:right w:w="108" w:type="dxa"/>
          </w:tblCellMar>
        </w:tblPrEx>
        <w:trPr>
          <w:trHeight w:val="1064" w:hRule="atLeast"/>
          <w:jc w:val="center"/>
        </w:trPr>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交验证书复印件</w:t>
            </w:r>
          </w:p>
          <w:p>
            <w:pPr>
              <w:jc w:val="center"/>
              <w:rPr>
                <w:rFonts w:ascii="FangSong_GB2312" w:hAnsi="FangSong_GB2312" w:eastAsia="FangSong_GB2312" w:cs="Arial"/>
                <w:sz w:val="24"/>
              </w:rPr>
            </w:pPr>
            <w:r>
              <w:rPr>
                <w:rFonts w:ascii="FangSong_GB2312" w:hAnsi="FangSong_GB2312" w:eastAsia="FangSong_GB2312" w:cs="Arial"/>
                <w:sz w:val="24"/>
              </w:rPr>
              <w:t>或扫描件名称</w:t>
            </w:r>
          </w:p>
        </w:tc>
        <w:tc>
          <w:tcPr>
            <w:tcW w:w="726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r>
              <w:rPr>
                <w:rFonts w:ascii="FangSong_GB2312" w:hAnsi="FangSong_GB2312" w:eastAsia="FangSong_GB2312" w:cs="宋体"/>
                <w:sz w:val="24"/>
              </w:rPr>
              <w:t>□</w:t>
            </w:r>
            <w:r>
              <w:rPr>
                <w:rFonts w:ascii="FangSong_GB2312" w:hAnsi="FangSong_GB2312" w:eastAsia="FangSong_GB2312" w:cs="Arial"/>
                <w:sz w:val="24"/>
              </w:rPr>
              <w:t>身份证</w:t>
            </w:r>
            <w:r>
              <w:rPr>
                <w:rFonts w:ascii="FangSong_GB2312" w:hAnsi="FangSong_GB2312" w:eastAsia="FangSong_GB2312" w:cs="宋体"/>
                <w:sz w:val="24"/>
              </w:rPr>
              <w:t>□</w:t>
            </w:r>
            <w:r>
              <w:rPr>
                <w:rFonts w:ascii="FangSong_GB2312" w:hAnsi="FangSong_GB2312" w:eastAsia="FangSong_GB2312" w:cs="Arial"/>
                <w:sz w:val="24"/>
              </w:rPr>
              <w:t>毕业证</w:t>
            </w:r>
            <w:r>
              <w:rPr>
                <w:rFonts w:ascii="FangSong_GB2312" w:hAnsi="FangSong_GB2312" w:eastAsia="FangSong_GB2312" w:cs="宋体"/>
                <w:sz w:val="24"/>
              </w:rPr>
              <w:t>□</w:t>
            </w:r>
            <w:r>
              <w:rPr>
                <w:rFonts w:ascii="FangSong_GB2312" w:hAnsi="FangSong_GB2312" w:eastAsia="FangSong_GB2312" w:cs="Arial"/>
                <w:sz w:val="24"/>
              </w:rPr>
              <w:t>学历证</w:t>
            </w:r>
            <w:r>
              <w:rPr>
                <w:rFonts w:ascii="FangSong_GB2312" w:hAnsi="FangSong_GB2312" w:eastAsia="FangSong_GB2312" w:cs="宋体"/>
                <w:sz w:val="24"/>
              </w:rPr>
              <w:t>□</w:t>
            </w:r>
            <w:r>
              <w:rPr>
                <w:rFonts w:ascii="FangSong_GB2312" w:hAnsi="FangSong_GB2312" w:eastAsia="FangSong_GB2312" w:cs="Arial"/>
                <w:sz w:val="24"/>
              </w:rPr>
              <w:t>职称证</w:t>
            </w:r>
            <w:r>
              <w:rPr>
                <w:rFonts w:ascii="FangSong_GB2312" w:hAnsi="FangSong_GB2312" w:eastAsia="FangSong_GB2312" w:cs="宋体"/>
                <w:sz w:val="24"/>
              </w:rPr>
              <w:t>□</w:t>
            </w:r>
            <w:r>
              <w:rPr>
                <w:rFonts w:ascii="FangSong_GB2312" w:hAnsi="FangSong_GB2312" w:eastAsia="FangSong_GB2312" w:cs="Arial"/>
                <w:sz w:val="24"/>
              </w:rPr>
              <w:t>资格证</w:t>
            </w:r>
            <w:r>
              <w:rPr>
                <w:rFonts w:ascii="FangSong_GB2312" w:hAnsi="FangSong_GB2312" w:eastAsia="FangSong_GB2312" w:cs="宋体"/>
                <w:sz w:val="24"/>
              </w:rPr>
              <w:t>□</w:t>
            </w:r>
            <w:r>
              <w:rPr>
                <w:rFonts w:ascii="FangSong_GB2312" w:hAnsi="FangSong_GB2312" w:eastAsia="FangSong_GB2312" w:cs="Arial"/>
                <w:sz w:val="24"/>
              </w:rPr>
              <w:t>执业证</w:t>
            </w:r>
            <w:r>
              <w:rPr>
                <w:rFonts w:ascii="FangSong_GB2312" w:hAnsi="FangSong_GB2312" w:eastAsia="FangSong_GB2312" w:cs="宋体"/>
                <w:sz w:val="24"/>
              </w:rPr>
              <w:t>□</w:t>
            </w:r>
            <w:r>
              <w:rPr>
                <w:rFonts w:ascii="FangSong_GB2312" w:hAnsi="FangSong_GB2312" w:eastAsia="FangSong_GB2312" w:cs="Arial"/>
                <w:sz w:val="24"/>
              </w:rPr>
              <w:t>上岗证</w:t>
            </w:r>
          </w:p>
          <w:p>
            <w:pPr>
              <w:rPr>
                <w:rFonts w:ascii="FangSong_GB2312" w:hAnsi="FangSong_GB2312" w:eastAsia="FangSong_GB2312" w:cs="Arial"/>
                <w:sz w:val="24"/>
                <w:u w:val="single"/>
              </w:rPr>
            </w:pPr>
            <w:r>
              <w:rPr>
                <w:rFonts w:ascii="FangSong_GB2312" w:hAnsi="FangSong_GB2312" w:eastAsia="FangSong_GB2312" w:cs="Arial"/>
                <w:sz w:val="24"/>
              </w:rPr>
              <w:t>其他：</w:t>
            </w:r>
          </w:p>
        </w:tc>
      </w:tr>
      <w:tr>
        <w:tblPrEx>
          <w:tblLayout w:type="fixed"/>
          <w:tblCellMar>
            <w:top w:w="0" w:type="dxa"/>
            <w:left w:w="108" w:type="dxa"/>
            <w:bottom w:w="0" w:type="dxa"/>
            <w:right w:w="108" w:type="dxa"/>
          </w:tblCellMar>
        </w:tblPrEx>
        <w:trPr>
          <w:cantSplit/>
          <w:trHeight w:val="2723"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个人履历及证明人</w:t>
            </w:r>
          </w:p>
        </w:tc>
        <w:tc>
          <w:tcPr>
            <w:tcW w:w="8751" w:type="dxa"/>
            <w:gridSpan w:val="16"/>
            <w:tcBorders>
              <w:top w:val="single" w:color="000000" w:sz="4" w:space="0"/>
              <w:left w:val="single" w:color="000000" w:sz="4" w:space="0"/>
              <w:bottom w:val="single" w:color="000000" w:sz="4" w:space="0"/>
              <w:right w:val="single" w:color="000000" w:sz="4" w:space="0"/>
            </w:tcBorders>
            <w:shd w:val="clear" w:color="auto" w:fill="auto"/>
          </w:tcPr>
          <w:p>
            <w:pPr>
              <w:jc w:val="left"/>
              <w:rPr>
                <w:rFonts w:ascii="FangSong_GB2312" w:hAnsi="FangSong_GB2312" w:eastAsia="FangSong_GB2312" w:cs="Arial"/>
              </w:rPr>
            </w:pPr>
          </w:p>
        </w:tc>
      </w:tr>
      <w:tr>
        <w:tblPrEx>
          <w:tblLayout w:type="fixed"/>
          <w:tblCellMar>
            <w:top w:w="0" w:type="dxa"/>
            <w:left w:w="108" w:type="dxa"/>
            <w:bottom w:w="0" w:type="dxa"/>
            <w:right w:w="108" w:type="dxa"/>
          </w:tblCellMar>
        </w:tblPrEx>
        <w:trPr>
          <w:trHeight w:val="567" w:hRule="atLeast"/>
          <w:jc w:val="center"/>
        </w:trPr>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r>
              <w:rPr>
                <w:rFonts w:ascii="FangSong_GB2312" w:hAnsi="FangSong_GB2312" w:eastAsia="FangSong_GB2312" w:cs="Arial"/>
                <w:sz w:val="24"/>
              </w:rPr>
              <w:t>所获主要证书</w:t>
            </w:r>
          </w:p>
        </w:tc>
        <w:tc>
          <w:tcPr>
            <w:tcW w:w="3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证书名称</w:t>
            </w: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r>
              <w:rPr>
                <w:rFonts w:ascii="FangSong_GB2312" w:hAnsi="FangSong_GB2312" w:eastAsia="FangSong_GB2312" w:cs="Arial"/>
                <w:sz w:val="24"/>
              </w:rPr>
              <w:t>发证时间</w:t>
            </w:r>
          </w:p>
        </w:tc>
        <w:tc>
          <w:tcPr>
            <w:tcW w:w="38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发证单位</w:t>
            </w:r>
          </w:p>
        </w:tc>
      </w:tr>
      <w:tr>
        <w:tblPrEx>
          <w:tblLayout w:type="fixed"/>
          <w:tblCellMar>
            <w:top w:w="0" w:type="dxa"/>
            <w:left w:w="108" w:type="dxa"/>
            <w:bottom w:w="0" w:type="dxa"/>
            <w:right w:w="108" w:type="dxa"/>
          </w:tblCellMar>
        </w:tblPrEx>
        <w:trPr>
          <w:trHeight w:val="567"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FangSong_GB2312" w:hAnsi="FangSong_GB2312" w:eastAsia="FangSong_GB2312" w:cs="Arial"/>
                <w:sz w:val="24"/>
              </w:rPr>
            </w:pPr>
          </w:p>
        </w:tc>
        <w:tc>
          <w:tcPr>
            <w:tcW w:w="3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FangSong_GB2312"/>
                <w:sz w:val="24"/>
              </w:rPr>
            </w:pPr>
          </w:p>
        </w:tc>
        <w:tc>
          <w:tcPr>
            <w:tcW w:w="38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r>
      <w:tr>
        <w:tblPrEx>
          <w:tblLayout w:type="fixed"/>
          <w:tblCellMar>
            <w:top w:w="0" w:type="dxa"/>
            <w:left w:w="108" w:type="dxa"/>
            <w:bottom w:w="0" w:type="dxa"/>
            <w:right w:w="108" w:type="dxa"/>
          </w:tblCellMar>
        </w:tblPrEx>
        <w:trPr>
          <w:trHeight w:val="567"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FangSong_GB2312" w:hAnsi="FangSong_GB2312" w:eastAsia="FangSong_GB2312" w:cs="Arial"/>
                <w:sz w:val="24"/>
              </w:rPr>
            </w:pPr>
          </w:p>
        </w:tc>
        <w:tc>
          <w:tcPr>
            <w:tcW w:w="3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FangSong_GB2312"/>
                <w:sz w:val="24"/>
              </w:rPr>
            </w:pPr>
          </w:p>
        </w:tc>
        <w:tc>
          <w:tcPr>
            <w:tcW w:w="38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r>
      <w:tr>
        <w:tblPrEx>
          <w:tblLayout w:type="fixed"/>
          <w:tblCellMar>
            <w:top w:w="0" w:type="dxa"/>
            <w:left w:w="108" w:type="dxa"/>
            <w:bottom w:w="0" w:type="dxa"/>
            <w:right w:w="108" w:type="dxa"/>
          </w:tblCellMar>
        </w:tblPrEx>
        <w:trPr>
          <w:trHeight w:val="567"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FangSong_GB2312" w:hAnsi="FangSong_GB2312" w:eastAsia="FangSong_GB2312" w:cs="Arial"/>
                <w:sz w:val="24"/>
              </w:rPr>
            </w:pPr>
          </w:p>
        </w:tc>
        <w:tc>
          <w:tcPr>
            <w:tcW w:w="3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FangSong_GB2312"/>
                <w:sz w:val="24"/>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FangSong_GB2312"/>
                <w:sz w:val="24"/>
              </w:rPr>
            </w:pPr>
          </w:p>
        </w:tc>
        <w:tc>
          <w:tcPr>
            <w:tcW w:w="38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r>
      <w:tr>
        <w:tblPrEx>
          <w:tblLayout w:type="fixed"/>
          <w:tblCellMar>
            <w:top w:w="0" w:type="dxa"/>
            <w:left w:w="108" w:type="dxa"/>
            <w:bottom w:w="0" w:type="dxa"/>
            <w:right w:w="108" w:type="dxa"/>
          </w:tblCellMar>
        </w:tblPrEx>
        <w:trPr>
          <w:trHeight w:val="567" w:hRule="atLeast"/>
          <w:jc w:val="center"/>
        </w:trPr>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r>
              <w:rPr>
                <w:rFonts w:ascii="FangSong_GB2312" w:hAnsi="FangSong_GB2312" w:eastAsia="FangSong_GB2312" w:cs="Arial"/>
                <w:sz w:val="24"/>
              </w:rPr>
              <w:t>主要奖励情况及科技成果</w:t>
            </w:r>
          </w:p>
        </w:tc>
        <w:tc>
          <w:tcPr>
            <w:tcW w:w="3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rPr>
                <w:rFonts w:ascii="FangSong_GB2312" w:hAnsi="FangSong_GB2312" w:eastAsia="FangSong_GB2312" w:cs="Arial"/>
                <w:sz w:val="24"/>
              </w:rPr>
            </w:pPr>
            <w:r>
              <w:rPr>
                <w:rFonts w:ascii="FangSong_GB2312" w:hAnsi="FangSong_GB2312" w:eastAsia="FangSong_GB2312" w:cs="Arial"/>
                <w:sz w:val="24"/>
              </w:rPr>
              <w:t>奖励（成果）名称</w:t>
            </w: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r>
              <w:rPr>
                <w:rFonts w:ascii="FangSong_GB2312" w:hAnsi="FangSong_GB2312" w:eastAsia="FangSong_GB2312" w:cs="Arial"/>
                <w:sz w:val="24"/>
              </w:rPr>
              <w:t>奖励时间</w:t>
            </w:r>
          </w:p>
        </w:tc>
        <w:tc>
          <w:tcPr>
            <w:tcW w:w="38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FangSong_GB2312" w:hAnsi="FangSong_GB2312" w:eastAsia="FangSong_GB2312" w:cs="Arial"/>
                <w:sz w:val="24"/>
              </w:rPr>
            </w:pPr>
            <w:r>
              <w:rPr>
                <w:rFonts w:ascii="FangSong_GB2312" w:hAnsi="FangSong_GB2312" w:eastAsia="FangSong_GB2312" w:cs="Arial"/>
                <w:sz w:val="24"/>
              </w:rPr>
              <w:t>授奖单位</w:t>
            </w:r>
          </w:p>
        </w:tc>
      </w:tr>
      <w:tr>
        <w:tblPrEx>
          <w:tblLayout w:type="fixed"/>
          <w:tblCellMar>
            <w:top w:w="0" w:type="dxa"/>
            <w:left w:w="108" w:type="dxa"/>
            <w:bottom w:w="0" w:type="dxa"/>
            <w:right w:w="108" w:type="dxa"/>
          </w:tblCellMar>
        </w:tblPrEx>
        <w:trPr>
          <w:trHeight w:val="567"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FangSong_GB2312" w:hAnsi="FangSong_GB2312" w:eastAsia="FangSong_GB2312" w:cs="Arial"/>
                <w:sz w:val="24"/>
              </w:rPr>
            </w:pPr>
          </w:p>
        </w:tc>
        <w:tc>
          <w:tcPr>
            <w:tcW w:w="3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rPr>
            </w:pPr>
          </w:p>
        </w:tc>
        <w:tc>
          <w:tcPr>
            <w:tcW w:w="38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宋体"/>
                <w:sz w:val="24"/>
              </w:rPr>
            </w:pPr>
          </w:p>
        </w:tc>
      </w:tr>
      <w:tr>
        <w:tblPrEx>
          <w:tblLayout w:type="fixed"/>
          <w:tblCellMar>
            <w:top w:w="0" w:type="dxa"/>
            <w:left w:w="108" w:type="dxa"/>
            <w:bottom w:w="0" w:type="dxa"/>
            <w:right w:w="108" w:type="dxa"/>
          </w:tblCellMar>
        </w:tblPrEx>
        <w:trPr>
          <w:trHeight w:val="567"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FangSong_GB2312" w:hAnsi="FangSong_GB2312" w:eastAsia="FangSong_GB2312" w:cs="宋体"/>
                <w:sz w:val="24"/>
              </w:rPr>
            </w:pPr>
          </w:p>
        </w:tc>
        <w:tc>
          <w:tcPr>
            <w:tcW w:w="3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FangSong_GB2312" w:hAnsi="FangSong_GB2312" w:eastAsia="FangSong_GB2312" w:cs="Arial"/>
                <w:sz w:val="24"/>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jc w:val="center"/>
              <w:rPr>
                <w:rFonts w:ascii="FangSong_GB2312" w:hAnsi="FangSong_GB2312" w:eastAsia="FangSong_GB2312" w:cs="Arial"/>
                <w:sz w:val="24"/>
              </w:rPr>
            </w:pPr>
          </w:p>
        </w:tc>
        <w:tc>
          <w:tcPr>
            <w:tcW w:w="38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jc w:val="center"/>
              <w:rPr>
                <w:rFonts w:ascii="FangSong_GB2312" w:hAnsi="FangSong_GB2312" w:eastAsia="FangSong_GB2312" w:cs="宋体"/>
                <w:sz w:val="24"/>
              </w:rPr>
            </w:pPr>
          </w:p>
        </w:tc>
      </w:tr>
      <w:tr>
        <w:tblPrEx>
          <w:tblLayout w:type="fixed"/>
          <w:tblCellMar>
            <w:top w:w="0" w:type="dxa"/>
            <w:left w:w="108" w:type="dxa"/>
            <w:bottom w:w="0" w:type="dxa"/>
            <w:right w:w="108" w:type="dxa"/>
          </w:tblCellMar>
        </w:tblPrEx>
        <w:trPr>
          <w:trHeight w:val="567" w:hRule="atLeast"/>
          <w:jc w:val="center"/>
        </w:trPr>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FangSong_GB2312" w:hAnsi="FangSong_GB2312" w:eastAsia="FangSong_GB2312" w:cs="宋体"/>
                <w:sz w:val="24"/>
              </w:rPr>
            </w:pPr>
          </w:p>
        </w:tc>
        <w:tc>
          <w:tcPr>
            <w:tcW w:w="3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jc w:val="center"/>
              <w:rPr>
                <w:rFonts w:ascii="FangSong_GB2312" w:hAnsi="FangSong_GB2312" w:eastAsia="FangSong_GB2312" w:cs="Arial"/>
                <w:sz w:val="24"/>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jc w:val="center"/>
              <w:rPr>
                <w:rFonts w:ascii="FangSong_GB2312" w:hAnsi="FangSong_GB2312" w:eastAsia="FangSong_GB2312" w:cs="Arial"/>
                <w:sz w:val="24"/>
              </w:rPr>
            </w:pPr>
          </w:p>
        </w:tc>
        <w:tc>
          <w:tcPr>
            <w:tcW w:w="38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jc w:val="center"/>
              <w:rPr>
                <w:rFonts w:ascii="FangSong_GB2312" w:hAnsi="FangSong_GB2312" w:eastAsia="FangSong_GB2312" w:cs="Arial"/>
                <w:sz w:val="24"/>
              </w:rPr>
            </w:pPr>
          </w:p>
        </w:tc>
      </w:tr>
      <w:tr>
        <w:tblPrEx>
          <w:tblLayout w:type="fixed"/>
          <w:tblCellMar>
            <w:top w:w="0" w:type="dxa"/>
            <w:left w:w="108" w:type="dxa"/>
            <w:bottom w:w="0" w:type="dxa"/>
            <w:right w:w="108" w:type="dxa"/>
          </w:tblCellMar>
        </w:tblPrEx>
        <w:trPr>
          <w:trHeight w:val="3040" w:hRule="atLeast"/>
          <w:jc w:val="center"/>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FangSong_GB2312" w:hAnsi="FangSong_GB2312" w:eastAsia="FangSong_GB2312" w:cs="Arial"/>
                <w:sz w:val="24"/>
              </w:rPr>
            </w:pPr>
            <w:r>
              <w:rPr>
                <w:rFonts w:ascii="FangSong_GB2312" w:hAnsi="FangSong_GB2312" w:eastAsia="FangSong_GB2312" w:cs="Arial"/>
                <w:sz w:val="24"/>
              </w:rPr>
              <w:t>签字备注</w:t>
            </w:r>
          </w:p>
        </w:tc>
        <w:tc>
          <w:tcPr>
            <w:tcW w:w="875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rPr>
                <w:rFonts w:ascii="FangSong_GB2312" w:hAnsi="FangSong_GB2312" w:eastAsia="FangSong_GB2312" w:cs="Arial"/>
                <w:sz w:val="24"/>
              </w:rPr>
            </w:pPr>
            <w:r>
              <w:rPr>
                <w:rFonts w:ascii="FangSong_GB2312" w:hAnsi="FangSong_GB2312" w:eastAsia="FangSong_GB2312" w:cs="Arial"/>
                <w:sz w:val="24"/>
              </w:rPr>
              <w:t>本人承诺：上述各项内容填报属实，若所填报内容与实际不符，由本人承担相应责任。</w:t>
            </w:r>
          </w:p>
          <w:p>
            <w:pPr>
              <w:spacing w:line="360" w:lineRule="auto"/>
              <w:rPr>
                <w:rFonts w:ascii="FangSong_GB2312" w:hAnsi="FangSong_GB2312" w:eastAsia="FangSong_GB2312" w:cs="Arial"/>
                <w:sz w:val="24"/>
              </w:rPr>
            </w:pPr>
          </w:p>
          <w:p>
            <w:pPr>
              <w:spacing w:line="360" w:lineRule="auto"/>
              <w:rPr>
                <w:rFonts w:ascii="FangSong_GB2312" w:hAnsi="FangSong_GB2312" w:eastAsia="FangSong_GB2312" w:cs="Arial"/>
                <w:sz w:val="24"/>
              </w:rPr>
            </w:pPr>
          </w:p>
          <w:p>
            <w:pPr>
              <w:spacing w:line="360" w:lineRule="auto"/>
              <w:rPr>
                <w:rFonts w:ascii="FangSong_GB2312" w:hAnsi="FangSong_GB2312" w:eastAsia="FangSong_GB2312" w:cs="Arial"/>
                <w:sz w:val="24"/>
              </w:rPr>
            </w:pPr>
          </w:p>
          <w:p>
            <w:pPr>
              <w:spacing w:line="360" w:lineRule="auto"/>
              <w:ind w:firstLine="480"/>
              <w:jc w:val="center"/>
              <w:rPr>
                <w:rFonts w:ascii="FangSong_GB2312" w:hAnsi="FangSong_GB2312" w:eastAsia="FangSong_GB2312" w:cs="Arial"/>
                <w:sz w:val="24"/>
              </w:rPr>
            </w:pPr>
            <w:r>
              <w:rPr>
                <w:rFonts w:ascii="FangSong_GB2312" w:hAnsi="FangSong_GB2312" w:eastAsia="FangSong_GB2312" w:cs="Arial"/>
                <w:sz w:val="24"/>
              </w:rPr>
              <w:t xml:space="preserve">本人签名： </w:t>
            </w:r>
          </w:p>
          <w:p>
            <w:pPr>
              <w:spacing w:line="360" w:lineRule="auto"/>
              <w:ind w:firstLine="480"/>
              <w:jc w:val="center"/>
              <w:rPr>
                <w:rFonts w:ascii="FangSong_GB2312" w:hAnsi="FangSong_GB2312" w:eastAsia="FangSong_GB2312" w:cs="Arial"/>
                <w:sz w:val="24"/>
              </w:rPr>
            </w:pPr>
            <w:r>
              <w:rPr>
                <w:rFonts w:ascii="FangSong_GB2312" w:hAnsi="FangSong_GB2312" w:eastAsia="FangSong_GB2312" w:cs="Arial"/>
                <w:sz w:val="24"/>
              </w:rPr>
              <w:t xml:space="preserve">                       年      月      日</w:t>
            </w:r>
          </w:p>
        </w:tc>
      </w:tr>
    </w:tbl>
    <w:p>
      <w:pPr>
        <w:rPr>
          <w:rFonts w:ascii="FangSong_GB2312" w:hAnsi="FangSong_GB2312" w:eastAsia="FangSong_GB2312" w:cs="Arial"/>
        </w:rPr>
      </w:pPr>
      <w:r>
        <w:rPr>
          <w:rFonts w:ascii="黑体" w:hAnsi="黑体" w:eastAsia="黑体" w:cs="Arial"/>
        </w:rPr>
        <w:t>填表说明：</w:t>
      </w:r>
      <w:r>
        <w:rPr>
          <w:rFonts w:ascii="FangSong_GB2312" w:hAnsi="FangSong_GB2312" w:eastAsia="FangSong_GB2312" w:cs="Arial"/>
        </w:rPr>
        <w:t>1.照片为近期一寸红底免冠照；</w:t>
      </w:r>
    </w:p>
    <w:p>
      <w:pPr>
        <w:ind w:firstLine="1092"/>
        <w:rPr>
          <w:rFonts w:ascii="FangSong_GB2312" w:hAnsi="FangSong_GB2312" w:eastAsia="FangSong_GB2312" w:cs="Arial"/>
        </w:rPr>
      </w:pPr>
      <w:r>
        <w:rPr>
          <w:rFonts w:ascii="FangSong_GB2312" w:hAnsi="FangSong_GB2312" w:eastAsia="FangSong_GB2312" w:cs="Arial"/>
        </w:rPr>
        <w:t>2.表中涉及时间的，一律精确到月；</w:t>
      </w:r>
    </w:p>
    <w:p>
      <w:pPr>
        <w:ind w:firstLine="1105"/>
        <w:rPr>
          <w:rFonts w:ascii="FangSong_GB2312" w:hAnsi="FangSong_GB2312" w:eastAsia="FangSong_GB2312"/>
          <w:sz w:val="32"/>
          <w:szCs w:val="32"/>
        </w:rPr>
      </w:pPr>
      <w:r>
        <w:rPr>
          <w:rFonts w:ascii="FangSong_GB2312" w:hAnsi="FangSong_GB2312" w:eastAsia="FangSong_GB2312" w:cs="Arial"/>
        </w:rPr>
        <w:t>3.”签字备注”中“本人签名”由本人亲自手写。</w:t>
      </w:r>
    </w:p>
    <w:p>
      <w:pPr>
        <w:spacing w:line="360" w:lineRule="auto"/>
      </w:pPr>
    </w:p>
    <w:sectPr>
      <w:pgSz w:w="11906" w:h="16838"/>
      <w:pgMar w:top="1418" w:right="1134" w:bottom="1418" w:left="1134" w:header="0" w:footer="0" w:gutter="0"/>
      <w:pgNumType w:fmt="decimal"/>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86"/>
    <w:family w:val="roman"/>
    <w:pitch w:val="default"/>
    <w:sig w:usb0="E4002EFF" w:usb1="C000247B" w:usb2="00000009" w:usb3="00000000" w:csb0="200001FF" w:csb1="00000000"/>
  </w:font>
  <w:font w:name="Liberation Sans">
    <w:altName w:val="宋体"/>
    <w:panose1 w:val="00000000000000000000"/>
    <w:charset w:val="86"/>
    <w:family w:val="roman"/>
    <w:pitch w:val="default"/>
    <w:sig w:usb0="00000000" w:usb1="00000000" w:usb2="00000000" w:usb3="00000000" w:csb0="00000000" w:csb1="00000000"/>
  </w:font>
  <w:font w:name="方正小标宋简体">
    <w:altName w:val="微软雅黑"/>
    <w:panose1 w:val="00000000000000000000"/>
    <w:charset w:val="86"/>
    <w:family w:val="roman"/>
    <w:pitch w:val="default"/>
    <w:sig w:usb0="00000000" w:usb1="00000000" w:usb2="00000000" w:usb3="00000000" w:csb0="00000000" w:csb1="00000000"/>
  </w:font>
  <w:font w:name="FangSong_GB2312">
    <w:altName w:val="仿宋"/>
    <w:panose1 w:val="00000000000000000000"/>
    <w:charset w:val="86"/>
    <w:family w:val="roman"/>
    <w:pitch w:val="default"/>
    <w:sig w:usb0="00000000" w:usb1="00000000" w:usb2="00000000" w:usb3="00000000" w:csb0="0000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KaiTi_GB2312">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Lucida Sans">
    <w:panose1 w:val="020B0602030504020204"/>
    <w:charset w:val="00"/>
    <w:family w:val="auto"/>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ocumentProtection w:enforcement="0"/>
  <w:defaultTabStop w:val="420"/>
  <w:compat>
    <w:doNotExpandShiftReturn/>
    <w:useFELayout/>
    <w:compatSetting w:name="compatibilityMode" w:uri="http://schemas.microsoft.com/office/word" w:val="14"/>
  </w:compat>
  <w:rsids>
    <w:rsidRoot w:val="00000000"/>
    <w:rsid w:val="02BD7514"/>
    <w:rsid w:val="0B274C07"/>
    <w:rsid w:val="16F436A2"/>
    <w:rsid w:val="1AF42B9A"/>
    <w:rsid w:val="30B764DA"/>
    <w:rsid w:val="394506E7"/>
    <w:rsid w:val="3F253CBA"/>
    <w:rsid w:val="41503736"/>
    <w:rsid w:val="6F4C4387"/>
    <w:rsid w:val="6FB140AC"/>
    <w:rsid w:val="78113C31"/>
    <w:rsid w:val="7EE930B7"/>
  </w:rsids>
  <m:mathPr>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bidi w:val="0"/>
      <w:jc w:val="both"/>
    </w:pPr>
    <w:rPr>
      <w:rFonts w:ascii="Calibri" w:hAnsi="Calibri" w:cs="Times New Roman" w:eastAsiaTheme="minorEastAsia"/>
      <w:color w:val="auto"/>
      <w:kern w:val="0"/>
      <w:sz w:val="21"/>
      <w:szCs w:val="21"/>
      <w:lang w:val="en-US" w:eastAsia="zh-CN" w:bidi="ar-SA"/>
    </w:rPr>
  </w:style>
  <w:style w:type="paragraph" w:styleId="2">
    <w:name w:val="heading 1"/>
    <w:next w:val="1"/>
    <w:qFormat/>
    <w:uiPriority w:val="7"/>
    <w:pPr>
      <w:widowControl/>
      <w:bidi w:val="0"/>
      <w:jc w:val="both"/>
      <w:outlineLvl w:val="0"/>
    </w:pPr>
    <w:rPr>
      <w:rFonts w:ascii="Calibri" w:hAnsi="Calibri" w:cs="Times New Roman" w:eastAsiaTheme="minorEastAsia"/>
      <w:color w:val="auto"/>
      <w:kern w:val="0"/>
      <w:sz w:val="28"/>
      <w:szCs w:val="28"/>
      <w:lang w:val="en-US" w:eastAsia="zh-CN" w:bidi="ar-SA"/>
    </w:rPr>
  </w:style>
  <w:style w:type="paragraph" w:styleId="3">
    <w:name w:val="heading 2"/>
    <w:next w:val="1"/>
    <w:qFormat/>
    <w:uiPriority w:val="8"/>
    <w:pPr>
      <w:widowControl/>
      <w:bidi w:val="0"/>
      <w:jc w:val="both"/>
      <w:outlineLvl w:val="1"/>
    </w:pPr>
    <w:rPr>
      <w:rFonts w:ascii="Calibri" w:hAnsi="Calibri" w:cs="Times New Roman" w:eastAsiaTheme="minorEastAsia"/>
      <w:color w:val="auto"/>
      <w:kern w:val="0"/>
      <w:sz w:val="21"/>
      <w:szCs w:val="21"/>
      <w:lang w:val="en-US" w:eastAsia="zh-CN" w:bidi="ar-SA"/>
    </w:rPr>
  </w:style>
  <w:style w:type="paragraph" w:styleId="4">
    <w:name w:val="heading 3"/>
    <w:next w:val="1"/>
    <w:qFormat/>
    <w:uiPriority w:val="9"/>
    <w:pPr>
      <w:widowControl/>
      <w:bidi w:val="0"/>
      <w:ind w:left="1000" w:hanging="400"/>
      <w:jc w:val="both"/>
      <w:outlineLvl w:val="2"/>
    </w:pPr>
    <w:rPr>
      <w:rFonts w:ascii="Calibri" w:hAnsi="Calibri" w:cs="Times New Roman" w:eastAsiaTheme="minorEastAsia"/>
      <w:color w:val="auto"/>
      <w:kern w:val="0"/>
      <w:sz w:val="21"/>
      <w:szCs w:val="21"/>
      <w:lang w:val="en-US" w:eastAsia="zh-CN" w:bidi="ar-SA"/>
    </w:rPr>
  </w:style>
  <w:style w:type="paragraph" w:styleId="5">
    <w:name w:val="heading 4"/>
    <w:next w:val="1"/>
    <w:qFormat/>
    <w:uiPriority w:val="10"/>
    <w:pPr>
      <w:widowControl/>
      <w:bidi w:val="0"/>
      <w:ind w:left="1200" w:hanging="400"/>
      <w:jc w:val="both"/>
      <w:outlineLvl w:val="3"/>
    </w:pPr>
    <w:rPr>
      <w:rFonts w:ascii="Calibri" w:hAnsi="Calibri" w:cs="Times New Roman" w:eastAsiaTheme="minorEastAsia"/>
      <w:b/>
      <w:color w:val="auto"/>
      <w:kern w:val="0"/>
      <w:sz w:val="21"/>
      <w:szCs w:val="21"/>
      <w:lang w:val="en-US" w:eastAsia="zh-CN" w:bidi="ar-SA"/>
    </w:rPr>
  </w:style>
  <w:style w:type="paragraph" w:styleId="6">
    <w:name w:val="heading 5"/>
    <w:next w:val="1"/>
    <w:qFormat/>
    <w:uiPriority w:val="11"/>
    <w:pPr>
      <w:widowControl/>
      <w:bidi w:val="0"/>
      <w:ind w:left="1400" w:hanging="400"/>
      <w:jc w:val="both"/>
      <w:outlineLvl w:val="4"/>
    </w:pPr>
    <w:rPr>
      <w:rFonts w:ascii="Calibri" w:hAnsi="Calibri" w:cs="Times New Roman" w:eastAsiaTheme="minorEastAsia"/>
      <w:color w:val="auto"/>
      <w:kern w:val="0"/>
      <w:sz w:val="21"/>
      <w:szCs w:val="21"/>
      <w:lang w:val="en-US" w:eastAsia="zh-CN" w:bidi="ar-SA"/>
    </w:rPr>
  </w:style>
  <w:style w:type="paragraph" w:styleId="7">
    <w:name w:val="heading 6"/>
    <w:next w:val="1"/>
    <w:qFormat/>
    <w:uiPriority w:val="12"/>
    <w:pPr>
      <w:widowControl/>
      <w:bidi w:val="0"/>
      <w:ind w:left="1600" w:hanging="400"/>
      <w:jc w:val="both"/>
      <w:outlineLvl w:val="5"/>
    </w:pPr>
    <w:rPr>
      <w:rFonts w:ascii="Calibri" w:hAnsi="Calibri" w:cs="Times New Roman" w:eastAsiaTheme="minorEastAsia"/>
      <w:b/>
      <w:color w:val="auto"/>
      <w:kern w:val="0"/>
      <w:sz w:val="21"/>
      <w:szCs w:val="21"/>
      <w:lang w:val="en-US" w:eastAsia="zh-CN" w:bidi="ar-SA"/>
    </w:rPr>
  </w:style>
  <w:style w:type="paragraph" w:styleId="8">
    <w:name w:val="heading 7"/>
    <w:next w:val="1"/>
    <w:qFormat/>
    <w:uiPriority w:val="13"/>
    <w:pPr>
      <w:widowControl/>
      <w:bidi w:val="0"/>
      <w:ind w:left="1800" w:hanging="400"/>
      <w:jc w:val="both"/>
      <w:outlineLvl w:val="6"/>
    </w:pPr>
    <w:rPr>
      <w:rFonts w:ascii="Calibri" w:hAnsi="Calibri" w:cs="Times New Roman" w:eastAsiaTheme="minorEastAsia"/>
      <w:color w:val="auto"/>
      <w:kern w:val="0"/>
      <w:sz w:val="21"/>
      <w:szCs w:val="21"/>
      <w:lang w:val="en-US" w:eastAsia="zh-CN" w:bidi="ar-SA"/>
    </w:rPr>
  </w:style>
  <w:style w:type="paragraph" w:styleId="9">
    <w:name w:val="heading 8"/>
    <w:next w:val="1"/>
    <w:qFormat/>
    <w:uiPriority w:val="14"/>
    <w:pPr>
      <w:widowControl/>
      <w:bidi w:val="0"/>
      <w:ind w:left="2000" w:hanging="400"/>
      <w:jc w:val="both"/>
      <w:outlineLvl w:val="7"/>
    </w:pPr>
    <w:rPr>
      <w:rFonts w:ascii="Calibri" w:hAnsi="Calibri" w:cs="Times New Roman" w:eastAsiaTheme="minorEastAsia"/>
      <w:color w:val="auto"/>
      <w:kern w:val="0"/>
      <w:sz w:val="21"/>
      <w:szCs w:val="21"/>
      <w:lang w:val="en-US" w:eastAsia="zh-CN" w:bidi="ar-SA"/>
    </w:rPr>
  </w:style>
  <w:style w:type="paragraph" w:styleId="10">
    <w:name w:val="heading 9"/>
    <w:next w:val="1"/>
    <w:qFormat/>
    <w:uiPriority w:val="15"/>
    <w:pPr>
      <w:widowControl/>
      <w:bidi w:val="0"/>
      <w:ind w:left="2200" w:hanging="400"/>
      <w:jc w:val="both"/>
      <w:outlineLvl w:val="8"/>
    </w:pPr>
    <w:rPr>
      <w:rFonts w:ascii="Calibri" w:hAnsi="Calibri" w:cs="Times New Roman" w:eastAsiaTheme="minorEastAsia"/>
      <w:color w:val="auto"/>
      <w:kern w:val="0"/>
      <w:sz w:val="21"/>
      <w:szCs w:val="21"/>
      <w:lang w:val="en-US" w:eastAsia="zh-CN" w:bidi="ar-SA"/>
    </w:rPr>
  </w:style>
  <w:style w:type="character" w:default="1" w:styleId="29">
    <w:name w:val="Default Paragraph Font"/>
    <w:unhideWhenUsed/>
    <w:qFormat/>
    <w:uiPriority w:val="1"/>
  </w:style>
  <w:style w:type="table" w:default="1" w:styleId="31">
    <w:name w:val="Normal Table"/>
    <w:unhideWhenUsed/>
    <w:qFormat/>
    <w:uiPriority w:val="99"/>
    <w:tblPr>
      <w:tblLayout w:type="fixed"/>
      <w:tblCellMar>
        <w:top w:w="0" w:type="dxa"/>
        <w:left w:w="108" w:type="dxa"/>
        <w:bottom w:w="0" w:type="dxa"/>
        <w:right w:w="108" w:type="dxa"/>
      </w:tblCellMar>
    </w:tblPr>
  </w:style>
  <w:style w:type="paragraph" w:styleId="11">
    <w:name w:val="toc 7"/>
    <w:next w:val="1"/>
    <w:unhideWhenUsed/>
    <w:qFormat/>
    <w:uiPriority w:val="34"/>
    <w:pPr>
      <w:widowControl/>
      <w:bidi w:val="0"/>
      <w:ind w:left="2550" w:firstLine="0"/>
      <w:jc w:val="both"/>
    </w:pPr>
    <w:rPr>
      <w:rFonts w:ascii="Calibri" w:hAnsi="Calibri" w:cs="Times New Roman" w:eastAsiaTheme="minorEastAsia"/>
      <w:color w:val="auto"/>
      <w:kern w:val="0"/>
      <w:sz w:val="21"/>
      <w:szCs w:val="21"/>
      <w:lang w:val="en-US" w:eastAsia="zh-CN" w:bidi="ar-SA"/>
    </w:rPr>
  </w:style>
  <w:style w:type="paragraph" w:styleId="12">
    <w:name w:val="caption"/>
    <w:basedOn w:val="1"/>
    <w:next w:val="1"/>
    <w:qFormat/>
    <w:uiPriority w:val="0"/>
    <w:pPr>
      <w:suppressLineNumbers/>
      <w:spacing w:before="120" w:after="120"/>
    </w:pPr>
    <w:rPr>
      <w:rFonts w:cs="Lucida Sans"/>
      <w:i/>
      <w:iCs/>
      <w:sz w:val="24"/>
      <w:szCs w:val="24"/>
    </w:rPr>
  </w:style>
  <w:style w:type="paragraph" w:styleId="13">
    <w:name w:val="Body Text"/>
    <w:basedOn w:val="1"/>
    <w:qFormat/>
    <w:uiPriority w:val="0"/>
    <w:pPr>
      <w:spacing w:before="0" w:after="140" w:line="276" w:lineRule="auto"/>
    </w:pPr>
  </w:style>
  <w:style w:type="paragraph" w:styleId="14">
    <w:name w:val="toc 5"/>
    <w:next w:val="1"/>
    <w:unhideWhenUsed/>
    <w:qFormat/>
    <w:uiPriority w:val="32"/>
    <w:pPr>
      <w:widowControl/>
      <w:bidi w:val="0"/>
      <w:ind w:left="1700" w:firstLine="0"/>
      <w:jc w:val="both"/>
    </w:pPr>
    <w:rPr>
      <w:rFonts w:ascii="Calibri" w:hAnsi="Calibri" w:cs="Times New Roman" w:eastAsiaTheme="minorEastAsia"/>
      <w:color w:val="auto"/>
      <w:kern w:val="0"/>
      <w:sz w:val="21"/>
      <w:szCs w:val="21"/>
      <w:lang w:val="en-US" w:eastAsia="zh-CN" w:bidi="ar-SA"/>
    </w:rPr>
  </w:style>
  <w:style w:type="paragraph" w:styleId="15">
    <w:name w:val="toc 3"/>
    <w:next w:val="1"/>
    <w:unhideWhenUsed/>
    <w:qFormat/>
    <w:uiPriority w:val="30"/>
    <w:pPr>
      <w:widowControl/>
      <w:bidi w:val="0"/>
      <w:ind w:left="850" w:firstLine="0"/>
      <w:jc w:val="both"/>
    </w:pPr>
    <w:rPr>
      <w:rFonts w:ascii="Calibri" w:hAnsi="Calibri" w:cs="Times New Roman" w:eastAsiaTheme="minorEastAsia"/>
      <w:color w:val="auto"/>
      <w:kern w:val="0"/>
      <w:sz w:val="21"/>
      <w:szCs w:val="21"/>
      <w:lang w:val="en-US" w:eastAsia="zh-CN" w:bidi="ar-SA"/>
    </w:rPr>
  </w:style>
  <w:style w:type="paragraph" w:styleId="16">
    <w:name w:val="toc 8"/>
    <w:next w:val="1"/>
    <w:unhideWhenUsed/>
    <w:qFormat/>
    <w:uiPriority w:val="35"/>
    <w:pPr>
      <w:widowControl/>
      <w:bidi w:val="0"/>
      <w:ind w:left="2975" w:firstLine="0"/>
      <w:jc w:val="both"/>
    </w:pPr>
    <w:rPr>
      <w:rFonts w:ascii="Calibri" w:hAnsi="Calibri" w:cs="Times New Roman" w:eastAsiaTheme="minorEastAsia"/>
      <w:color w:val="auto"/>
      <w:kern w:val="0"/>
      <w:sz w:val="21"/>
      <w:szCs w:val="21"/>
      <w:lang w:val="en-US" w:eastAsia="zh-CN" w:bidi="ar-SA"/>
    </w:rPr>
  </w:style>
  <w:style w:type="paragraph" w:styleId="17">
    <w:name w:val="Date"/>
    <w:basedOn w:val="1"/>
    <w:next w:val="1"/>
    <w:link w:val="43"/>
    <w:unhideWhenUsed/>
    <w:qFormat/>
    <w:uiPriority w:val="99"/>
    <w:pPr>
      <w:ind w:left="100" w:firstLine="0"/>
    </w:pPr>
  </w:style>
  <w:style w:type="paragraph" w:styleId="18">
    <w:name w:val="Balloon Text"/>
    <w:qFormat/>
    <w:uiPriority w:val="0"/>
    <w:pPr>
      <w:widowControl/>
      <w:bidi w:val="0"/>
      <w:jc w:val="both"/>
    </w:pPr>
    <w:rPr>
      <w:rFonts w:ascii="Calibri" w:hAnsi="Calibri" w:cs="Times New Roman" w:eastAsiaTheme="minorEastAsia"/>
      <w:color w:val="auto"/>
      <w:kern w:val="0"/>
      <w:sz w:val="18"/>
      <w:szCs w:val="18"/>
      <w:lang w:val="en-US" w:eastAsia="zh-CN" w:bidi="ar-SA"/>
    </w:rPr>
  </w:style>
  <w:style w:type="paragraph" w:styleId="19">
    <w:name w:val="footer"/>
    <w:qFormat/>
    <w:uiPriority w:val="0"/>
    <w:pPr>
      <w:widowControl/>
      <w:tabs>
        <w:tab w:val="center" w:pos="4153"/>
        <w:tab w:val="right" w:pos="8306"/>
      </w:tabs>
      <w:bidi w:val="0"/>
      <w:jc w:val="both"/>
    </w:pPr>
    <w:rPr>
      <w:rFonts w:ascii="Calibri" w:hAnsi="Calibri" w:cs="Times New Roman" w:eastAsiaTheme="minorEastAsia"/>
      <w:color w:val="auto"/>
      <w:kern w:val="0"/>
      <w:sz w:val="18"/>
      <w:szCs w:val="18"/>
      <w:lang w:val="en-US" w:eastAsia="zh-CN" w:bidi="ar-SA"/>
    </w:rPr>
  </w:style>
  <w:style w:type="paragraph" w:styleId="20">
    <w:name w:val="header"/>
    <w:qFormat/>
    <w:uiPriority w:val="0"/>
    <w:pPr>
      <w:widowControl/>
      <w:tabs>
        <w:tab w:val="center" w:pos="4153"/>
        <w:tab w:val="right" w:pos="8306"/>
      </w:tabs>
      <w:bidi w:val="0"/>
      <w:jc w:val="center"/>
    </w:pPr>
    <w:rPr>
      <w:rFonts w:ascii="Calibri" w:hAnsi="Calibri" w:cs="Times New Roman" w:eastAsiaTheme="minorEastAsia"/>
      <w:color w:val="auto"/>
      <w:kern w:val="0"/>
      <w:sz w:val="18"/>
      <w:szCs w:val="18"/>
      <w:lang w:val="en-US" w:eastAsia="zh-CN" w:bidi="ar-SA"/>
    </w:rPr>
  </w:style>
  <w:style w:type="paragraph" w:styleId="21">
    <w:name w:val="toc 1"/>
    <w:next w:val="1"/>
    <w:unhideWhenUsed/>
    <w:qFormat/>
    <w:uiPriority w:val="28"/>
    <w:pPr>
      <w:widowControl/>
      <w:bidi w:val="0"/>
      <w:jc w:val="both"/>
    </w:pPr>
    <w:rPr>
      <w:rFonts w:ascii="Calibri" w:hAnsi="Calibri" w:cs="Times New Roman" w:eastAsiaTheme="minorEastAsia"/>
      <w:color w:val="auto"/>
      <w:kern w:val="0"/>
      <w:sz w:val="21"/>
      <w:szCs w:val="21"/>
      <w:lang w:val="en-US" w:eastAsia="zh-CN" w:bidi="ar-SA"/>
    </w:rPr>
  </w:style>
  <w:style w:type="paragraph" w:styleId="22">
    <w:name w:val="toc 4"/>
    <w:next w:val="1"/>
    <w:unhideWhenUsed/>
    <w:qFormat/>
    <w:uiPriority w:val="31"/>
    <w:pPr>
      <w:widowControl/>
      <w:bidi w:val="0"/>
      <w:ind w:left="1275" w:firstLine="0"/>
      <w:jc w:val="both"/>
    </w:pPr>
    <w:rPr>
      <w:rFonts w:ascii="Calibri" w:hAnsi="Calibri" w:cs="Times New Roman" w:eastAsiaTheme="minorEastAsia"/>
      <w:color w:val="auto"/>
      <w:kern w:val="0"/>
      <w:sz w:val="21"/>
      <w:szCs w:val="21"/>
      <w:lang w:val="en-US" w:eastAsia="zh-CN" w:bidi="ar-SA"/>
    </w:rPr>
  </w:style>
  <w:style w:type="paragraph" w:styleId="23">
    <w:name w:val="Subtitle"/>
    <w:qFormat/>
    <w:uiPriority w:val="16"/>
    <w:pPr>
      <w:widowControl/>
      <w:bidi w:val="0"/>
      <w:jc w:val="center"/>
    </w:pPr>
    <w:rPr>
      <w:rFonts w:ascii="Calibri" w:hAnsi="Calibri" w:cs="Times New Roman" w:eastAsiaTheme="minorEastAsia"/>
      <w:color w:val="auto"/>
      <w:kern w:val="0"/>
      <w:sz w:val="24"/>
      <w:szCs w:val="24"/>
      <w:lang w:val="en-US" w:eastAsia="zh-CN" w:bidi="ar-SA"/>
    </w:rPr>
  </w:style>
  <w:style w:type="paragraph" w:styleId="24">
    <w:name w:val="List"/>
    <w:basedOn w:val="13"/>
    <w:qFormat/>
    <w:uiPriority w:val="0"/>
    <w:rPr>
      <w:rFonts w:cs="Lucida Sans"/>
    </w:rPr>
  </w:style>
  <w:style w:type="paragraph" w:styleId="25">
    <w:name w:val="toc 6"/>
    <w:next w:val="1"/>
    <w:unhideWhenUsed/>
    <w:qFormat/>
    <w:uiPriority w:val="33"/>
    <w:pPr>
      <w:widowControl/>
      <w:bidi w:val="0"/>
      <w:ind w:left="2125" w:firstLine="0"/>
      <w:jc w:val="both"/>
    </w:pPr>
    <w:rPr>
      <w:rFonts w:ascii="Calibri" w:hAnsi="Calibri" w:cs="Times New Roman" w:eastAsiaTheme="minorEastAsia"/>
      <w:color w:val="auto"/>
      <w:kern w:val="0"/>
      <w:sz w:val="21"/>
      <w:szCs w:val="21"/>
      <w:lang w:val="en-US" w:eastAsia="zh-CN" w:bidi="ar-SA"/>
    </w:rPr>
  </w:style>
  <w:style w:type="paragraph" w:styleId="26">
    <w:name w:val="toc 2"/>
    <w:next w:val="1"/>
    <w:unhideWhenUsed/>
    <w:qFormat/>
    <w:uiPriority w:val="29"/>
    <w:pPr>
      <w:widowControl/>
      <w:bidi w:val="0"/>
      <w:ind w:left="425" w:firstLine="0"/>
      <w:jc w:val="both"/>
    </w:pPr>
    <w:rPr>
      <w:rFonts w:ascii="Calibri" w:hAnsi="Calibri" w:cs="Times New Roman" w:eastAsiaTheme="minorEastAsia"/>
      <w:color w:val="auto"/>
      <w:kern w:val="0"/>
      <w:sz w:val="21"/>
      <w:szCs w:val="21"/>
      <w:lang w:val="en-US" w:eastAsia="zh-CN" w:bidi="ar-SA"/>
    </w:rPr>
  </w:style>
  <w:style w:type="paragraph" w:styleId="27">
    <w:name w:val="toc 9"/>
    <w:next w:val="1"/>
    <w:unhideWhenUsed/>
    <w:qFormat/>
    <w:uiPriority w:val="36"/>
    <w:pPr>
      <w:widowControl/>
      <w:bidi w:val="0"/>
      <w:ind w:left="3400" w:firstLine="0"/>
      <w:jc w:val="both"/>
    </w:pPr>
    <w:rPr>
      <w:rFonts w:ascii="Calibri" w:hAnsi="Calibri" w:cs="Times New Roman" w:eastAsiaTheme="minorEastAsia"/>
      <w:color w:val="auto"/>
      <w:kern w:val="0"/>
      <w:sz w:val="21"/>
      <w:szCs w:val="21"/>
      <w:lang w:val="en-US" w:eastAsia="zh-CN" w:bidi="ar-SA"/>
    </w:rPr>
  </w:style>
  <w:style w:type="paragraph" w:styleId="28">
    <w:name w:val="Title"/>
    <w:qFormat/>
    <w:uiPriority w:val="6"/>
    <w:pPr>
      <w:widowControl/>
      <w:bidi w:val="0"/>
      <w:jc w:val="center"/>
    </w:pPr>
    <w:rPr>
      <w:rFonts w:ascii="Calibri" w:hAnsi="Calibri" w:cs="Times New Roman" w:eastAsiaTheme="minorEastAsia"/>
      <w:b/>
      <w:color w:val="auto"/>
      <w:kern w:val="0"/>
      <w:sz w:val="32"/>
      <w:szCs w:val="32"/>
      <w:lang w:val="en-US" w:eastAsia="zh-CN" w:bidi="ar-SA"/>
    </w:rPr>
  </w:style>
  <w:style w:type="character" w:styleId="30">
    <w:name w:val="Strong"/>
    <w:qFormat/>
    <w:uiPriority w:val="20"/>
    <w:rPr>
      <w:w w:val="100"/>
      <w:sz w:val="21"/>
      <w:szCs w:val="21"/>
      <w:shd w:val="clear" w:fill="auto"/>
    </w:r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3">
    <w:name w:val="Subtle Emphasis"/>
    <w:qFormat/>
    <w:uiPriority w:val="17"/>
    <w:rPr>
      <w:i/>
      <w:color w:val="404040"/>
      <w:w w:val="100"/>
      <w:sz w:val="21"/>
      <w:szCs w:val="21"/>
      <w:shd w:val="clear" w:fill="auto"/>
    </w:rPr>
  </w:style>
  <w:style w:type="character" w:customStyle="1" w:styleId="34">
    <w:name w:val="强调1"/>
    <w:qFormat/>
    <w:uiPriority w:val="18"/>
  </w:style>
  <w:style w:type="character" w:customStyle="1" w:styleId="35">
    <w:name w:val="Intense Emphasis"/>
    <w:qFormat/>
    <w:uiPriority w:val="19"/>
    <w:rPr>
      <w:i/>
      <w:color w:val="5B9BD5"/>
      <w:w w:val="100"/>
      <w:sz w:val="21"/>
      <w:szCs w:val="21"/>
      <w:shd w:val="clear" w:fill="auto"/>
    </w:rPr>
  </w:style>
  <w:style w:type="character" w:customStyle="1" w:styleId="36">
    <w:name w:val="Subtle Reference"/>
    <w:qFormat/>
    <w:uiPriority w:val="23"/>
    <w:rPr>
      <w:smallCaps/>
      <w:color w:val="5A5A5A"/>
      <w:w w:val="100"/>
      <w:sz w:val="21"/>
      <w:szCs w:val="21"/>
      <w:shd w:val="clear" w:fill="auto"/>
    </w:rPr>
  </w:style>
  <w:style w:type="character" w:customStyle="1" w:styleId="37">
    <w:name w:val="Intense Reference"/>
    <w:qFormat/>
    <w:uiPriority w:val="24"/>
    <w:rPr>
      <w:smallCaps/>
      <w:color w:val="5B9BD5"/>
      <w:w w:val="100"/>
      <w:sz w:val="21"/>
      <w:szCs w:val="21"/>
      <w:shd w:val="clear" w:fill="auto"/>
    </w:rPr>
  </w:style>
  <w:style w:type="character" w:customStyle="1" w:styleId="38">
    <w:name w:val="Book Title"/>
    <w:qFormat/>
    <w:uiPriority w:val="25"/>
    <w:rPr>
      <w:i/>
      <w:w w:val="100"/>
      <w:sz w:val="21"/>
      <w:szCs w:val="21"/>
      <w:shd w:val="clear" w:fill="auto"/>
    </w:rPr>
  </w:style>
  <w:style w:type="character" w:customStyle="1" w:styleId="39">
    <w:name w:val="Internet 链接"/>
    <w:qFormat/>
    <w:uiPriority w:val="0"/>
  </w:style>
  <w:style w:type="character" w:customStyle="1" w:styleId="40">
    <w:name w:val="页眉 Char"/>
    <w:qFormat/>
    <w:uiPriority w:val="0"/>
    <w:rPr>
      <w:w w:val="100"/>
      <w:sz w:val="18"/>
      <w:szCs w:val="18"/>
      <w:shd w:val="clear" w:fill="auto"/>
    </w:rPr>
  </w:style>
  <w:style w:type="character" w:customStyle="1" w:styleId="41">
    <w:name w:val="页脚 Char"/>
    <w:qFormat/>
    <w:uiPriority w:val="0"/>
    <w:rPr>
      <w:w w:val="100"/>
      <w:sz w:val="18"/>
      <w:szCs w:val="18"/>
      <w:shd w:val="clear" w:fill="auto"/>
    </w:rPr>
  </w:style>
  <w:style w:type="character" w:customStyle="1" w:styleId="42">
    <w:name w:val="批注框文本 Char"/>
    <w:qFormat/>
    <w:uiPriority w:val="0"/>
    <w:rPr>
      <w:w w:val="100"/>
      <w:sz w:val="18"/>
      <w:szCs w:val="18"/>
      <w:shd w:val="clear" w:fill="auto"/>
    </w:rPr>
  </w:style>
  <w:style w:type="character" w:customStyle="1" w:styleId="43">
    <w:name w:val="Date Char"/>
    <w:basedOn w:val="29"/>
    <w:link w:val="17"/>
    <w:semiHidden/>
    <w:qFormat/>
    <w:uiPriority w:val="99"/>
  </w:style>
  <w:style w:type="character" w:customStyle="1" w:styleId="44">
    <w:name w:val="ListLabel 1"/>
    <w:qFormat/>
    <w:uiPriority w:val="0"/>
    <w:rPr>
      <w:w w:val="100"/>
      <w:sz w:val="20"/>
      <w:szCs w:val="20"/>
    </w:rPr>
  </w:style>
  <w:style w:type="character" w:customStyle="1" w:styleId="45">
    <w:name w:val="ListLabel 2"/>
    <w:qFormat/>
    <w:uiPriority w:val="0"/>
    <w:rPr>
      <w:w w:val="100"/>
      <w:sz w:val="20"/>
      <w:szCs w:val="20"/>
    </w:rPr>
  </w:style>
  <w:style w:type="character" w:customStyle="1" w:styleId="46">
    <w:name w:val="ListLabel 3"/>
    <w:qFormat/>
    <w:uiPriority w:val="0"/>
    <w:rPr>
      <w:w w:val="100"/>
      <w:sz w:val="20"/>
      <w:szCs w:val="20"/>
    </w:rPr>
  </w:style>
  <w:style w:type="character" w:customStyle="1" w:styleId="47">
    <w:name w:val="ListLabel 4"/>
    <w:qFormat/>
    <w:uiPriority w:val="0"/>
    <w:rPr>
      <w:w w:val="100"/>
      <w:sz w:val="20"/>
      <w:szCs w:val="20"/>
    </w:rPr>
  </w:style>
  <w:style w:type="character" w:customStyle="1" w:styleId="48">
    <w:name w:val="ListLabel 5"/>
    <w:qFormat/>
    <w:uiPriority w:val="0"/>
    <w:rPr>
      <w:w w:val="100"/>
      <w:sz w:val="20"/>
      <w:szCs w:val="20"/>
    </w:rPr>
  </w:style>
  <w:style w:type="character" w:customStyle="1" w:styleId="49">
    <w:name w:val="ListLabel 6"/>
    <w:qFormat/>
    <w:uiPriority w:val="0"/>
    <w:rPr>
      <w:w w:val="100"/>
      <w:sz w:val="20"/>
      <w:szCs w:val="20"/>
    </w:rPr>
  </w:style>
  <w:style w:type="character" w:customStyle="1" w:styleId="50">
    <w:name w:val="ListLabel 7"/>
    <w:qFormat/>
    <w:uiPriority w:val="0"/>
    <w:rPr>
      <w:w w:val="100"/>
      <w:sz w:val="20"/>
      <w:szCs w:val="20"/>
    </w:rPr>
  </w:style>
  <w:style w:type="character" w:customStyle="1" w:styleId="51">
    <w:name w:val="ListLabel 8"/>
    <w:qFormat/>
    <w:uiPriority w:val="0"/>
    <w:rPr>
      <w:w w:val="100"/>
      <w:sz w:val="20"/>
      <w:szCs w:val="20"/>
    </w:rPr>
  </w:style>
  <w:style w:type="character" w:customStyle="1" w:styleId="52">
    <w:name w:val="ListLabel 9"/>
    <w:qFormat/>
    <w:uiPriority w:val="0"/>
    <w:rPr>
      <w:w w:val="100"/>
      <w:sz w:val="20"/>
      <w:szCs w:val="20"/>
    </w:rPr>
  </w:style>
  <w:style w:type="character" w:customStyle="1" w:styleId="53">
    <w:name w:val="ListLabel 10"/>
    <w:qFormat/>
    <w:uiPriority w:val="0"/>
    <w:rPr>
      <w:w w:val="100"/>
      <w:sz w:val="20"/>
      <w:szCs w:val="20"/>
    </w:rPr>
  </w:style>
  <w:style w:type="character" w:customStyle="1" w:styleId="54">
    <w:name w:val="ListLabel 11"/>
    <w:qFormat/>
    <w:uiPriority w:val="0"/>
    <w:rPr>
      <w:w w:val="100"/>
      <w:sz w:val="20"/>
      <w:szCs w:val="20"/>
    </w:rPr>
  </w:style>
  <w:style w:type="character" w:customStyle="1" w:styleId="55">
    <w:name w:val="ListLabel 12"/>
    <w:qFormat/>
    <w:uiPriority w:val="0"/>
    <w:rPr>
      <w:w w:val="100"/>
      <w:sz w:val="20"/>
      <w:szCs w:val="20"/>
    </w:rPr>
  </w:style>
  <w:style w:type="character" w:customStyle="1" w:styleId="56">
    <w:name w:val="ListLabel 13"/>
    <w:qFormat/>
    <w:uiPriority w:val="0"/>
    <w:rPr>
      <w:w w:val="100"/>
      <w:sz w:val="20"/>
      <w:szCs w:val="20"/>
    </w:rPr>
  </w:style>
  <w:style w:type="character" w:customStyle="1" w:styleId="57">
    <w:name w:val="ListLabel 14"/>
    <w:qFormat/>
    <w:uiPriority w:val="0"/>
    <w:rPr>
      <w:w w:val="100"/>
      <w:sz w:val="20"/>
      <w:szCs w:val="20"/>
    </w:rPr>
  </w:style>
  <w:style w:type="character" w:customStyle="1" w:styleId="58">
    <w:name w:val="ListLabel 15"/>
    <w:qFormat/>
    <w:uiPriority w:val="0"/>
    <w:rPr>
      <w:w w:val="100"/>
      <w:sz w:val="20"/>
      <w:szCs w:val="20"/>
    </w:rPr>
  </w:style>
  <w:style w:type="character" w:customStyle="1" w:styleId="59">
    <w:name w:val="ListLabel 16"/>
    <w:qFormat/>
    <w:uiPriority w:val="0"/>
    <w:rPr>
      <w:w w:val="100"/>
      <w:sz w:val="20"/>
      <w:szCs w:val="20"/>
    </w:rPr>
  </w:style>
  <w:style w:type="character" w:customStyle="1" w:styleId="60">
    <w:name w:val="ListLabel 17"/>
    <w:qFormat/>
    <w:uiPriority w:val="0"/>
    <w:rPr>
      <w:w w:val="100"/>
      <w:sz w:val="20"/>
      <w:szCs w:val="20"/>
    </w:rPr>
  </w:style>
  <w:style w:type="character" w:customStyle="1" w:styleId="61">
    <w:name w:val="ListLabel 18"/>
    <w:qFormat/>
    <w:uiPriority w:val="0"/>
    <w:rPr>
      <w:w w:val="100"/>
      <w:sz w:val="20"/>
      <w:szCs w:val="20"/>
    </w:rPr>
  </w:style>
  <w:style w:type="character" w:customStyle="1" w:styleId="62">
    <w:name w:val="ListLabel 19"/>
    <w:qFormat/>
    <w:uiPriority w:val="0"/>
    <w:rPr>
      <w:w w:val="100"/>
      <w:sz w:val="20"/>
      <w:szCs w:val="20"/>
    </w:rPr>
  </w:style>
  <w:style w:type="character" w:customStyle="1" w:styleId="63">
    <w:name w:val="ListLabel 20"/>
    <w:qFormat/>
    <w:uiPriority w:val="0"/>
    <w:rPr>
      <w:w w:val="100"/>
      <w:sz w:val="20"/>
      <w:szCs w:val="20"/>
    </w:rPr>
  </w:style>
  <w:style w:type="character" w:customStyle="1" w:styleId="64">
    <w:name w:val="ListLabel 21"/>
    <w:qFormat/>
    <w:uiPriority w:val="0"/>
    <w:rPr>
      <w:w w:val="100"/>
      <w:sz w:val="20"/>
      <w:szCs w:val="20"/>
    </w:rPr>
  </w:style>
  <w:style w:type="character" w:customStyle="1" w:styleId="65">
    <w:name w:val="ListLabel 22"/>
    <w:qFormat/>
    <w:uiPriority w:val="0"/>
    <w:rPr>
      <w:w w:val="100"/>
      <w:sz w:val="20"/>
      <w:szCs w:val="20"/>
    </w:rPr>
  </w:style>
  <w:style w:type="character" w:customStyle="1" w:styleId="66">
    <w:name w:val="ListLabel 23"/>
    <w:qFormat/>
    <w:uiPriority w:val="0"/>
    <w:rPr>
      <w:w w:val="100"/>
      <w:sz w:val="20"/>
      <w:szCs w:val="20"/>
    </w:rPr>
  </w:style>
  <w:style w:type="character" w:customStyle="1" w:styleId="67">
    <w:name w:val="ListLabel 24"/>
    <w:qFormat/>
    <w:uiPriority w:val="0"/>
    <w:rPr>
      <w:w w:val="100"/>
      <w:sz w:val="20"/>
      <w:szCs w:val="20"/>
    </w:rPr>
  </w:style>
  <w:style w:type="character" w:customStyle="1" w:styleId="68">
    <w:name w:val="ListLabel 25"/>
    <w:qFormat/>
    <w:uiPriority w:val="0"/>
    <w:rPr>
      <w:w w:val="100"/>
      <w:sz w:val="20"/>
      <w:szCs w:val="20"/>
    </w:rPr>
  </w:style>
  <w:style w:type="character" w:customStyle="1" w:styleId="69">
    <w:name w:val="ListLabel 26"/>
    <w:qFormat/>
    <w:uiPriority w:val="0"/>
    <w:rPr>
      <w:w w:val="100"/>
      <w:sz w:val="20"/>
      <w:szCs w:val="20"/>
    </w:rPr>
  </w:style>
  <w:style w:type="character" w:customStyle="1" w:styleId="70">
    <w:name w:val="ListLabel 27"/>
    <w:qFormat/>
    <w:uiPriority w:val="0"/>
    <w:rPr>
      <w:w w:val="100"/>
      <w:sz w:val="20"/>
      <w:szCs w:val="20"/>
    </w:rPr>
  </w:style>
  <w:style w:type="character" w:customStyle="1" w:styleId="71">
    <w:name w:val="ListLabel 28"/>
    <w:qFormat/>
    <w:uiPriority w:val="0"/>
    <w:rPr>
      <w:w w:val="100"/>
      <w:sz w:val="20"/>
      <w:szCs w:val="20"/>
    </w:rPr>
  </w:style>
  <w:style w:type="character" w:customStyle="1" w:styleId="72">
    <w:name w:val="ListLabel 29"/>
    <w:qFormat/>
    <w:uiPriority w:val="0"/>
    <w:rPr>
      <w:w w:val="100"/>
      <w:sz w:val="20"/>
      <w:szCs w:val="20"/>
    </w:rPr>
  </w:style>
  <w:style w:type="character" w:customStyle="1" w:styleId="73">
    <w:name w:val="ListLabel 30"/>
    <w:qFormat/>
    <w:uiPriority w:val="0"/>
    <w:rPr>
      <w:w w:val="100"/>
      <w:sz w:val="20"/>
      <w:szCs w:val="20"/>
    </w:rPr>
  </w:style>
  <w:style w:type="character" w:customStyle="1" w:styleId="74">
    <w:name w:val="ListLabel 31"/>
    <w:qFormat/>
    <w:uiPriority w:val="0"/>
    <w:rPr>
      <w:w w:val="100"/>
      <w:sz w:val="20"/>
      <w:szCs w:val="20"/>
    </w:rPr>
  </w:style>
  <w:style w:type="character" w:customStyle="1" w:styleId="75">
    <w:name w:val="ListLabel 32"/>
    <w:qFormat/>
    <w:uiPriority w:val="0"/>
    <w:rPr>
      <w:w w:val="100"/>
      <w:sz w:val="20"/>
      <w:szCs w:val="20"/>
    </w:rPr>
  </w:style>
  <w:style w:type="character" w:customStyle="1" w:styleId="76">
    <w:name w:val="ListLabel 33"/>
    <w:qFormat/>
    <w:uiPriority w:val="0"/>
    <w:rPr>
      <w:w w:val="100"/>
      <w:sz w:val="20"/>
      <w:szCs w:val="20"/>
    </w:rPr>
  </w:style>
  <w:style w:type="character" w:customStyle="1" w:styleId="77">
    <w:name w:val="ListLabel 34"/>
    <w:qFormat/>
    <w:uiPriority w:val="0"/>
    <w:rPr>
      <w:w w:val="100"/>
      <w:sz w:val="20"/>
      <w:szCs w:val="20"/>
    </w:rPr>
  </w:style>
  <w:style w:type="character" w:customStyle="1" w:styleId="78">
    <w:name w:val="ListLabel 35"/>
    <w:qFormat/>
    <w:uiPriority w:val="0"/>
    <w:rPr>
      <w:w w:val="100"/>
      <w:sz w:val="20"/>
      <w:szCs w:val="20"/>
    </w:rPr>
  </w:style>
  <w:style w:type="character" w:customStyle="1" w:styleId="79">
    <w:name w:val="ListLabel 36"/>
    <w:qFormat/>
    <w:uiPriority w:val="0"/>
    <w:rPr>
      <w:w w:val="100"/>
      <w:sz w:val="20"/>
      <w:szCs w:val="20"/>
    </w:rPr>
  </w:style>
  <w:style w:type="character" w:customStyle="1" w:styleId="80">
    <w:name w:val="ListLabel 37"/>
    <w:qFormat/>
    <w:uiPriority w:val="0"/>
    <w:rPr>
      <w:w w:val="100"/>
      <w:sz w:val="20"/>
      <w:szCs w:val="20"/>
    </w:rPr>
  </w:style>
  <w:style w:type="character" w:customStyle="1" w:styleId="81">
    <w:name w:val="ListLabel 38"/>
    <w:qFormat/>
    <w:uiPriority w:val="0"/>
    <w:rPr>
      <w:w w:val="100"/>
      <w:sz w:val="20"/>
      <w:szCs w:val="20"/>
    </w:rPr>
  </w:style>
  <w:style w:type="character" w:customStyle="1" w:styleId="82">
    <w:name w:val="ListLabel 39"/>
    <w:qFormat/>
    <w:uiPriority w:val="0"/>
    <w:rPr>
      <w:w w:val="100"/>
      <w:sz w:val="20"/>
      <w:szCs w:val="20"/>
    </w:rPr>
  </w:style>
  <w:style w:type="character" w:customStyle="1" w:styleId="83">
    <w:name w:val="ListLabel 40"/>
    <w:qFormat/>
    <w:uiPriority w:val="0"/>
    <w:rPr>
      <w:w w:val="100"/>
      <w:sz w:val="20"/>
      <w:szCs w:val="20"/>
    </w:rPr>
  </w:style>
  <w:style w:type="character" w:customStyle="1" w:styleId="84">
    <w:name w:val="ListLabel 41"/>
    <w:qFormat/>
    <w:uiPriority w:val="0"/>
    <w:rPr>
      <w:w w:val="100"/>
      <w:sz w:val="20"/>
      <w:szCs w:val="20"/>
    </w:rPr>
  </w:style>
  <w:style w:type="character" w:customStyle="1" w:styleId="85">
    <w:name w:val="ListLabel 42"/>
    <w:qFormat/>
    <w:uiPriority w:val="0"/>
    <w:rPr>
      <w:w w:val="100"/>
      <w:sz w:val="20"/>
      <w:szCs w:val="20"/>
    </w:rPr>
  </w:style>
  <w:style w:type="character" w:customStyle="1" w:styleId="86">
    <w:name w:val="ListLabel 43"/>
    <w:qFormat/>
    <w:uiPriority w:val="0"/>
    <w:rPr>
      <w:w w:val="100"/>
      <w:sz w:val="20"/>
      <w:szCs w:val="20"/>
    </w:rPr>
  </w:style>
  <w:style w:type="character" w:customStyle="1" w:styleId="87">
    <w:name w:val="ListLabel 44"/>
    <w:qFormat/>
    <w:uiPriority w:val="0"/>
    <w:rPr>
      <w:w w:val="100"/>
      <w:sz w:val="20"/>
      <w:szCs w:val="20"/>
    </w:rPr>
  </w:style>
  <w:style w:type="character" w:customStyle="1" w:styleId="88">
    <w:name w:val="ListLabel 45"/>
    <w:qFormat/>
    <w:uiPriority w:val="0"/>
    <w:rPr>
      <w:w w:val="100"/>
      <w:sz w:val="20"/>
      <w:szCs w:val="20"/>
    </w:rPr>
  </w:style>
  <w:style w:type="character" w:customStyle="1" w:styleId="89">
    <w:name w:val="尾注符"/>
    <w:qFormat/>
    <w:uiPriority w:val="0"/>
  </w:style>
  <w:style w:type="paragraph" w:customStyle="1" w:styleId="90">
    <w:name w:val="标题样式"/>
    <w:basedOn w:val="1"/>
    <w:next w:val="13"/>
    <w:qFormat/>
    <w:uiPriority w:val="0"/>
    <w:pPr>
      <w:keepNext/>
      <w:spacing w:before="240" w:after="120"/>
    </w:pPr>
    <w:rPr>
      <w:rFonts w:ascii="Liberation Sans" w:hAnsi="Liberation Sans" w:eastAsia="微软雅黑" w:cs="Lucida Sans"/>
      <w:sz w:val="28"/>
      <w:szCs w:val="28"/>
    </w:rPr>
  </w:style>
  <w:style w:type="paragraph" w:customStyle="1" w:styleId="91">
    <w:name w:val="索引"/>
    <w:basedOn w:val="1"/>
    <w:qFormat/>
    <w:uiPriority w:val="0"/>
    <w:pPr>
      <w:suppressLineNumbers/>
    </w:pPr>
    <w:rPr>
      <w:rFonts w:cs="Lucida Sans"/>
    </w:rPr>
  </w:style>
  <w:style w:type="paragraph" w:customStyle="1" w:styleId="92">
    <w:name w:val="No Spacing"/>
    <w:qFormat/>
    <w:uiPriority w:val="5"/>
    <w:pPr>
      <w:widowControl/>
      <w:bidi w:val="0"/>
      <w:jc w:val="both"/>
    </w:pPr>
    <w:rPr>
      <w:rFonts w:ascii="Calibri" w:hAnsi="Calibri" w:cs="Times New Roman" w:eastAsiaTheme="minorEastAsia"/>
      <w:color w:val="auto"/>
      <w:kern w:val="0"/>
      <w:sz w:val="21"/>
      <w:szCs w:val="21"/>
      <w:lang w:val="en-US" w:eastAsia="zh-CN" w:bidi="ar-SA"/>
    </w:rPr>
  </w:style>
  <w:style w:type="paragraph" w:customStyle="1" w:styleId="93">
    <w:name w:val="Quote"/>
    <w:qFormat/>
    <w:uiPriority w:val="21"/>
    <w:pPr>
      <w:widowControl/>
      <w:bidi w:val="0"/>
      <w:ind w:left="864" w:right="864" w:firstLine="0"/>
      <w:jc w:val="center"/>
    </w:pPr>
    <w:rPr>
      <w:rFonts w:ascii="Calibri" w:hAnsi="Calibri" w:eastAsia="宋体" w:cs="Times New Roman"/>
      <w:i/>
      <w:color w:val="404040"/>
      <w:kern w:val="0"/>
      <w:sz w:val="21"/>
      <w:szCs w:val="21"/>
      <w:lang w:val="en-US" w:eastAsia="zh-CN" w:bidi="ar-SA"/>
    </w:rPr>
  </w:style>
  <w:style w:type="paragraph" w:customStyle="1" w:styleId="94">
    <w:name w:val="Intense Quote"/>
    <w:qFormat/>
    <w:uiPriority w:val="22"/>
    <w:pPr>
      <w:widowControl/>
      <w:bidi w:val="0"/>
      <w:ind w:left="950" w:right="950" w:firstLine="0"/>
      <w:jc w:val="center"/>
    </w:pPr>
    <w:rPr>
      <w:rFonts w:ascii="Calibri" w:hAnsi="Calibri" w:eastAsia="宋体" w:cs="Times New Roman"/>
      <w:i/>
      <w:color w:val="5B9BD5"/>
      <w:kern w:val="0"/>
      <w:sz w:val="21"/>
      <w:szCs w:val="21"/>
      <w:lang w:val="en-US" w:eastAsia="zh-CN" w:bidi="ar-SA"/>
    </w:rPr>
  </w:style>
  <w:style w:type="paragraph" w:customStyle="1" w:styleId="95">
    <w:name w:val="List Paragraph"/>
    <w:qFormat/>
    <w:uiPriority w:val="26"/>
    <w:pPr>
      <w:widowControl/>
      <w:bidi w:val="0"/>
      <w:ind w:firstLine="420"/>
      <w:jc w:val="both"/>
    </w:pPr>
    <w:rPr>
      <w:rFonts w:ascii="Calibri" w:hAnsi="Calibri" w:cs="Times New Roman" w:eastAsiaTheme="minorEastAsia"/>
      <w:color w:val="auto"/>
      <w:kern w:val="0"/>
      <w:sz w:val="21"/>
      <w:szCs w:val="21"/>
      <w:lang w:val="en-US" w:eastAsia="zh-CN" w:bidi="ar-SA"/>
    </w:rPr>
  </w:style>
  <w:style w:type="paragraph" w:customStyle="1" w:styleId="96">
    <w:name w:val="TOC Heading"/>
    <w:unhideWhenUsed/>
    <w:qFormat/>
    <w:uiPriority w:val="27"/>
    <w:pPr>
      <w:widowControl/>
      <w:bidi w:val="0"/>
      <w:jc w:val="both"/>
    </w:pPr>
    <w:rPr>
      <w:rFonts w:ascii="Calibri" w:hAnsi="Calibri" w:eastAsia="宋体" w:cs="Times New Roman"/>
      <w:color w:val="2E74B5"/>
      <w:kern w:val="0"/>
      <w:sz w:val="32"/>
      <w:szCs w:val="32"/>
      <w:lang w:val="en-US" w:eastAsia="zh-CN" w:bidi="ar-SA"/>
    </w:rPr>
  </w:style>
  <w:style w:type="paragraph" w:customStyle="1" w:styleId="97">
    <w:name w:val="Default"/>
    <w:qFormat/>
    <w:uiPriority w:val="0"/>
    <w:pPr>
      <w:widowControl/>
      <w:bidi w:val="0"/>
      <w:jc w:val="both"/>
    </w:pPr>
    <w:rPr>
      <w:rFonts w:ascii="宋体" w:hAnsi="宋体" w:eastAsia="宋体" w:cs="Times New Roman"/>
      <w:color w:val="auto"/>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777912-83DB-4A64-8DEF-8B8367D6D2A7}">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2285</Words>
  <Characters>2390</Characters>
  <Paragraphs>129</Paragraphs>
  <TotalTime>75</TotalTime>
  <ScaleCrop>false</ScaleCrop>
  <LinksUpToDate>false</LinksUpToDate>
  <CharactersWithSpaces>2474</CharactersWithSpaces>
  <Application>WPS Office_10.8.0.6470_F1E327BC-269C-435d-A152-05C5408002CA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2020-05-22T01:48:00Z</dcterms:created>
  <dc:creator>唐能熙</dc:creator>
  <cp:lastModifiedBy>Lenovo</cp:lastModifiedBy>
  <dcterms:modified xsi:type="dcterms:W3CDTF">2020-09-22T02:32:39Z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MClips">
    <vt:i4>0</vt:i4>
  </property>
  <property fmtid="{D5CDD505-2E9C-101B-9397-08002B2CF9AE}" pid="7" name="ScaleCrop">
    <vt:bool>false</vt:bool>
  </property>
  <property fmtid="{D5CDD505-2E9C-101B-9397-08002B2CF9AE}" pid="8" name="ShareDoc">
    <vt:bool>false</vt:bool>
  </property>
  <property fmtid="{D5CDD505-2E9C-101B-9397-08002B2CF9AE}" pid="9" name="KSOProductBuildVer">
    <vt:lpwstr>2052-10.8.0.6470</vt:lpwstr>
  </property>
</Properties>
</file>