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川投集团甘肃能源有限责任公司</w:t>
      </w:r>
    </w:p>
    <w:p>
      <w:pPr>
        <w:spacing w:line="576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外滩银谷11楼办公住所改造项目竞争性谈判公告</w:t>
      </w:r>
    </w:p>
    <w:p>
      <w:pPr>
        <w:spacing w:line="576" w:lineRule="exact"/>
        <w:ind w:left="0" w:leftChars="0" w:firstLine="684" w:firstLineChars="213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spacing w:line="576" w:lineRule="exact"/>
        <w:ind w:left="0" w:leftChars="0" w:firstLine="684" w:firstLineChars="213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一、项目概况</w:t>
      </w:r>
    </w:p>
    <w:p>
      <w:pPr>
        <w:numPr>
          <w:ilvl w:val="0"/>
          <w:numId w:val="0"/>
        </w:numPr>
        <w:snapToGrid/>
        <w:spacing w:line="576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川投集团甘肃能源有限责任公司（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以下简称“采购人”或“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甲方”）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现办公住所为甘肃省兰州市外滩银谷写字楼11楼，现根据实际需要对办公住所进行改造。</w:t>
      </w:r>
    </w:p>
    <w:p>
      <w:pPr>
        <w:numPr>
          <w:ilvl w:val="0"/>
          <w:numId w:val="0"/>
        </w:numPr>
        <w:spacing w:line="576" w:lineRule="exact"/>
        <w:ind w:firstLine="684" w:firstLineChars="213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二、报价人资质要求（不满足条件为不合格报价人）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为法人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，需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提供有效的营业执照（复印件需加盖公章）。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未被市场监管部门列入经营异常名录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未被采购人列入供应商黑名单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adjustRightInd/>
        <w:snapToGrid/>
        <w:spacing w:line="576" w:lineRule="exact"/>
        <w:ind w:left="0" w:leftChars="0" w:firstLine="684" w:firstLineChars="213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三、报价人的工作范围及要求</w:t>
      </w:r>
    </w:p>
    <w:p>
      <w:pPr>
        <w:widowControl/>
        <w:numPr>
          <w:ilvl w:val="0"/>
          <w:numId w:val="0"/>
        </w:numPr>
        <w:adjustRightInd/>
        <w:snapToGrid/>
        <w:spacing w:line="576" w:lineRule="exact"/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1.工作范围及工程量：详见附件《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川投甘肃公司外滩银谷11住所改造项目工程量清单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》</w:t>
      </w:r>
    </w:p>
    <w:p>
      <w:pPr>
        <w:widowControl/>
        <w:numPr>
          <w:ilvl w:val="0"/>
          <w:numId w:val="0"/>
        </w:numPr>
        <w:adjustRightInd/>
        <w:snapToGrid/>
        <w:spacing w:line="576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2.工期要求：本项目所有工作须在合同签订次日起20个工作日内完成。</w:t>
      </w:r>
    </w:p>
    <w:p>
      <w:pPr>
        <w:widowControl/>
        <w:numPr>
          <w:ilvl w:val="0"/>
          <w:numId w:val="0"/>
        </w:numPr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3.中选后不得将本项目转让或部分转让给第三方履行。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b w:val="0"/>
          <w:color w:val="auto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4.本项目合同为总价包干合同，涉及新建项目的由报价人提供所有材料。报价人所提供的材料须经采购人验收确认后方可进行安装施工。</w:t>
      </w:r>
    </w:p>
    <w:p>
      <w:pPr>
        <w:numPr>
          <w:ilvl w:val="0"/>
          <w:numId w:val="0"/>
        </w:numPr>
        <w:spacing w:line="576" w:lineRule="exact"/>
        <w:ind w:left="0" w:leftChars="0" w:firstLine="684" w:firstLineChars="213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四、报价资料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在2024年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0前，报价人将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纸质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报价资料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可靠密封后投递至甘肃省兰州市外滩银谷写字楼11楼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投递资料含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FF0000"/>
          <w:kern w:val="0"/>
          <w:sz w:val="32"/>
          <w:szCs w:val="32"/>
          <w:lang w:val="en-US" w:eastAsia="zh-CN"/>
        </w:rPr>
        <w:t>提供资料均须加盖公章或专用章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①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有效的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营业执照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②  国家企业信用信息公示系统截图或企业信用报告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③  报价单（含法定代表人身份证明等所有附件）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 xml:space="preserve">  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川投甘肃公司外滩银谷11楼办公住所改造项目工程量清单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》中备注栏要求的前台定制家具图纸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注：如需其他资料，采购人在报价截止前另行通知。</w:t>
      </w:r>
    </w:p>
    <w:p>
      <w:pPr>
        <w:numPr>
          <w:ilvl w:val="0"/>
          <w:numId w:val="0"/>
        </w:numPr>
        <w:spacing w:line="576" w:lineRule="exact"/>
        <w:ind w:left="0" w:leftChars="0" w:firstLine="684" w:firstLineChars="213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现场踏勘</w:t>
      </w:r>
    </w:p>
    <w:p>
      <w:pPr>
        <w:widowControl/>
        <w:numPr>
          <w:ilvl w:val="0"/>
          <w:numId w:val="0"/>
        </w:numPr>
        <w:spacing w:line="576" w:lineRule="exact"/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-12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0，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公司将组织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现场踏勘，未参与踏勘的报价人将视为其已对项目现场工作条件、工作内容、质量要求进行了充分了解。任何报价人中标后均不得以未参加现场踏勘为由提出修改报价、调整工作内容、更换材料等与本公告及附件内容不符的要求。</w:t>
      </w:r>
    </w:p>
    <w:p>
      <w:pPr>
        <w:numPr>
          <w:ilvl w:val="0"/>
          <w:numId w:val="0"/>
        </w:numPr>
        <w:spacing w:line="576" w:lineRule="exact"/>
        <w:ind w:left="0" w:leftChars="0" w:firstLine="684" w:firstLineChars="213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六、联系方式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联系人：游先生；联系电话：13679680204</w:t>
      </w:r>
    </w:p>
    <w:p>
      <w:pPr>
        <w:widowControl/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竞争性谈判资料（报价单）须在2024年11月27日15:00前下载附件获取。</w:t>
      </w:r>
    </w:p>
    <w:p>
      <w:pPr>
        <w:widowControl/>
        <w:numPr>
          <w:ilvl w:val="0"/>
          <w:numId w:val="0"/>
        </w:numPr>
        <w:spacing w:line="576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576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附件：1.报价单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      2.川投甘肃公司外滩银谷11楼办公住所改造项目工程量清单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本竞争性谈判公告通过四川省投资集团有限责任公司（https://www.invest.com.cn/）官网发布。</w:t>
      </w:r>
    </w:p>
    <w:p>
      <w:pPr>
        <w:numPr>
          <w:ilvl w:val="0"/>
          <w:numId w:val="0"/>
        </w:numPr>
        <w:tabs>
          <w:tab w:val="left" w:pos="1821"/>
        </w:tabs>
        <w:ind w:firstLine="0" w:firstLineChars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907" w:right="1236" w:bottom="907" w:left="1236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2A0907-3E7D-4172-A3F7-F6E3405902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03EEC3B-12CD-41E0-A43B-37036A3F83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5AA4923-53BE-49A1-841B-7AACBF8D8A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D8FA0D6-C77D-436D-8013-696A73B739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ZmI2MDljZTIzMTQwNTIxMGQ3YTE3YzU2OTc0NDQifQ=="/>
    <w:docVar w:name="KSO_WPS_MARK_KEY" w:val="8908acf0-830b-442f-b2f9-c3db53b49465"/>
  </w:docVars>
  <w:rsids>
    <w:rsidRoot w:val="00000000"/>
    <w:rsid w:val="00024D91"/>
    <w:rsid w:val="006F7FA3"/>
    <w:rsid w:val="016025FC"/>
    <w:rsid w:val="029545B0"/>
    <w:rsid w:val="029C2959"/>
    <w:rsid w:val="02D76DA5"/>
    <w:rsid w:val="0308048F"/>
    <w:rsid w:val="03855A58"/>
    <w:rsid w:val="04453565"/>
    <w:rsid w:val="04714937"/>
    <w:rsid w:val="05165A56"/>
    <w:rsid w:val="05BA7389"/>
    <w:rsid w:val="063C6862"/>
    <w:rsid w:val="06A3169D"/>
    <w:rsid w:val="07A41690"/>
    <w:rsid w:val="08017EC5"/>
    <w:rsid w:val="08B64477"/>
    <w:rsid w:val="0900152A"/>
    <w:rsid w:val="092B1742"/>
    <w:rsid w:val="092B3E10"/>
    <w:rsid w:val="0972302D"/>
    <w:rsid w:val="098C1B3D"/>
    <w:rsid w:val="09DB3168"/>
    <w:rsid w:val="0A5F5B47"/>
    <w:rsid w:val="0C7F12C2"/>
    <w:rsid w:val="0C8573BB"/>
    <w:rsid w:val="0D2F68E9"/>
    <w:rsid w:val="0D7C7FCF"/>
    <w:rsid w:val="0DA41AC3"/>
    <w:rsid w:val="0E772D33"/>
    <w:rsid w:val="0F0E18EA"/>
    <w:rsid w:val="0F812312"/>
    <w:rsid w:val="10A2129A"/>
    <w:rsid w:val="10AE4F08"/>
    <w:rsid w:val="113745D6"/>
    <w:rsid w:val="1151779C"/>
    <w:rsid w:val="11CF3184"/>
    <w:rsid w:val="129860AA"/>
    <w:rsid w:val="142D7CF6"/>
    <w:rsid w:val="14427184"/>
    <w:rsid w:val="146E4BD8"/>
    <w:rsid w:val="14DA3140"/>
    <w:rsid w:val="14F8525A"/>
    <w:rsid w:val="15146F17"/>
    <w:rsid w:val="15D163EF"/>
    <w:rsid w:val="162B4F07"/>
    <w:rsid w:val="180F7615"/>
    <w:rsid w:val="185F27E3"/>
    <w:rsid w:val="186758BE"/>
    <w:rsid w:val="18F75024"/>
    <w:rsid w:val="191044B0"/>
    <w:rsid w:val="1A51614C"/>
    <w:rsid w:val="1AA063FA"/>
    <w:rsid w:val="1AC748A7"/>
    <w:rsid w:val="1AEC2D5A"/>
    <w:rsid w:val="1B1F122E"/>
    <w:rsid w:val="1B9C027D"/>
    <w:rsid w:val="1C084B18"/>
    <w:rsid w:val="1C1C3CB0"/>
    <w:rsid w:val="1CBE78C7"/>
    <w:rsid w:val="1CC5621D"/>
    <w:rsid w:val="1D252C6E"/>
    <w:rsid w:val="1D73289F"/>
    <w:rsid w:val="1DB330B1"/>
    <w:rsid w:val="1E1C3BAD"/>
    <w:rsid w:val="1EAB5F5C"/>
    <w:rsid w:val="1EB574B4"/>
    <w:rsid w:val="1FB04DE4"/>
    <w:rsid w:val="1FC97EEE"/>
    <w:rsid w:val="200E1FC9"/>
    <w:rsid w:val="20193ADB"/>
    <w:rsid w:val="20DA787E"/>
    <w:rsid w:val="21473554"/>
    <w:rsid w:val="214C0A7F"/>
    <w:rsid w:val="21BC2C6E"/>
    <w:rsid w:val="21E27B73"/>
    <w:rsid w:val="22E77320"/>
    <w:rsid w:val="230F3D0E"/>
    <w:rsid w:val="248116E3"/>
    <w:rsid w:val="24CB061B"/>
    <w:rsid w:val="256767B9"/>
    <w:rsid w:val="25CD7667"/>
    <w:rsid w:val="25CE46D4"/>
    <w:rsid w:val="25D1669E"/>
    <w:rsid w:val="262647FB"/>
    <w:rsid w:val="263C01AF"/>
    <w:rsid w:val="263F6444"/>
    <w:rsid w:val="26C41BCD"/>
    <w:rsid w:val="26CA727B"/>
    <w:rsid w:val="27706FC3"/>
    <w:rsid w:val="27ED450D"/>
    <w:rsid w:val="27F75337"/>
    <w:rsid w:val="27FB69FA"/>
    <w:rsid w:val="27FD43FB"/>
    <w:rsid w:val="2840449F"/>
    <w:rsid w:val="28902F18"/>
    <w:rsid w:val="295201CD"/>
    <w:rsid w:val="297508B9"/>
    <w:rsid w:val="29A77EB6"/>
    <w:rsid w:val="2A214883"/>
    <w:rsid w:val="2A2A161D"/>
    <w:rsid w:val="2A974310"/>
    <w:rsid w:val="2B4B6F96"/>
    <w:rsid w:val="2B6C2596"/>
    <w:rsid w:val="2CDE5182"/>
    <w:rsid w:val="2D324967"/>
    <w:rsid w:val="2D370C8C"/>
    <w:rsid w:val="2DF2036A"/>
    <w:rsid w:val="2DF56170"/>
    <w:rsid w:val="2E413272"/>
    <w:rsid w:val="2E4A1FC0"/>
    <w:rsid w:val="2E652BDB"/>
    <w:rsid w:val="2E6844AC"/>
    <w:rsid w:val="2F254DDB"/>
    <w:rsid w:val="2F37233F"/>
    <w:rsid w:val="2F433757"/>
    <w:rsid w:val="2F520F27"/>
    <w:rsid w:val="2F590507"/>
    <w:rsid w:val="30112B90"/>
    <w:rsid w:val="30D82DBC"/>
    <w:rsid w:val="32DA50A8"/>
    <w:rsid w:val="33001A94"/>
    <w:rsid w:val="3304133C"/>
    <w:rsid w:val="3436029A"/>
    <w:rsid w:val="35030EE8"/>
    <w:rsid w:val="35D70D2D"/>
    <w:rsid w:val="36145F2F"/>
    <w:rsid w:val="37F40A5C"/>
    <w:rsid w:val="388D6C2D"/>
    <w:rsid w:val="38C850B2"/>
    <w:rsid w:val="38D85A55"/>
    <w:rsid w:val="38F71B36"/>
    <w:rsid w:val="38F8427A"/>
    <w:rsid w:val="3A4C5C52"/>
    <w:rsid w:val="3ACB022B"/>
    <w:rsid w:val="3B4442AF"/>
    <w:rsid w:val="3C1232D0"/>
    <w:rsid w:val="3C2212F1"/>
    <w:rsid w:val="3CF24C54"/>
    <w:rsid w:val="3CF37B08"/>
    <w:rsid w:val="3D4C5BC1"/>
    <w:rsid w:val="3F67457A"/>
    <w:rsid w:val="4026349D"/>
    <w:rsid w:val="40321980"/>
    <w:rsid w:val="4119620D"/>
    <w:rsid w:val="416968A3"/>
    <w:rsid w:val="41755D0F"/>
    <w:rsid w:val="41B22EF3"/>
    <w:rsid w:val="430F4027"/>
    <w:rsid w:val="44873881"/>
    <w:rsid w:val="44D77AAC"/>
    <w:rsid w:val="454232BB"/>
    <w:rsid w:val="464C01AA"/>
    <w:rsid w:val="46F56559"/>
    <w:rsid w:val="47217361"/>
    <w:rsid w:val="4770243A"/>
    <w:rsid w:val="47E24386"/>
    <w:rsid w:val="485462FA"/>
    <w:rsid w:val="48B93CE2"/>
    <w:rsid w:val="48BD3A2E"/>
    <w:rsid w:val="48E24912"/>
    <w:rsid w:val="491B4DF4"/>
    <w:rsid w:val="4924528A"/>
    <w:rsid w:val="49611B2D"/>
    <w:rsid w:val="49DD1EB4"/>
    <w:rsid w:val="49F90B6E"/>
    <w:rsid w:val="4A822935"/>
    <w:rsid w:val="4A920BEB"/>
    <w:rsid w:val="4ADF3F34"/>
    <w:rsid w:val="4B712771"/>
    <w:rsid w:val="4C1F757E"/>
    <w:rsid w:val="4C54278A"/>
    <w:rsid w:val="4D621F5E"/>
    <w:rsid w:val="4E251939"/>
    <w:rsid w:val="4E556F0B"/>
    <w:rsid w:val="4E901BAF"/>
    <w:rsid w:val="4ED068C1"/>
    <w:rsid w:val="4FFA0673"/>
    <w:rsid w:val="50290688"/>
    <w:rsid w:val="507F64AC"/>
    <w:rsid w:val="512B4311"/>
    <w:rsid w:val="51412685"/>
    <w:rsid w:val="51B50137"/>
    <w:rsid w:val="52640A2C"/>
    <w:rsid w:val="52687CF1"/>
    <w:rsid w:val="529E02B6"/>
    <w:rsid w:val="52B12E92"/>
    <w:rsid w:val="537B0701"/>
    <w:rsid w:val="5433692A"/>
    <w:rsid w:val="54626B6B"/>
    <w:rsid w:val="5467761C"/>
    <w:rsid w:val="54BE5E4B"/>
    <w:rsid w:val="5536081F"/>
    <w:rsid w:val="56375CF2"/>
    <w:rsid w:val="56935098"/>
    <w:rsid w:val="56DF7116"/>
    <w:rsid w:val="56EB5639"/>
    <w:rsid w:val="574058CA"/>
    <w:rsid w:val="57DA4A78"/>
    <w:rsid w:val="57E51A3D"/>
    <w:rsid w:val="5805272B"/>
    <w:rsid w:val="58DF4D2A"/>
    <w:rsid w:val="5A4D55B9"/>
    <w:rsid w:val="5AC71F19"/>
    <w:rsid w:val="5B70610D"/>
    <w:rsid w:val="5B804B1C"/>
    <w:rsid w:val="5BC071AF"/>
    <w:rsid w:val="5BEC75F6"/>
    <w:rsid w:val="5D1C7ED2"/>
    <w:rsid w:val="5D612B82"/>
    <w:rsid w:val="5D7A3273"/>
    <w:rsid w:val="5DB42954"/>
    <w:rsid w:val="5DDC10B1"/>
    <w:rsid w:val="5DF40168"/>
    <w:rsid w:val="5F061262"/>
    <w:rsid w:val="5F096A42"/>
    <w:rsid w:val="5FFF4389"/>
    <w:rsid w:val="600C4ED3"/>
    <w:rsid w:val="60112148"/>
    <w:rsid w:val="604638E0"/>
    <w:rsid w:val="609E72F4"/>
    <w:rsid w:val="610F7AFD"/>
    <w:rsid w:val="614D0A1D"/>
    <w:rsid w:val="616A5433"/>
    <w:rsid w:val="623B5EC4"/>
    <w:rsid w:val="6276416D"/>
    <w:rsid w:val="62A3326C"/>
    <w:rsid w:val="63536A40"/>
    <w:rsid w:val="637A3023"/>
    <w:rsid w:val="63983E34"/>
    <w:rsid w:val="63E37DC4"/>
    <w:rsid w:val="63FB44D7"/>
    <w:rsid w:val="64917820"/>
    <w:rsid w:val="64AE01CB"/>
    <w:rsid w:val="65142B74"/>
    <w:rsid w:val="653A1C66"/>
    <w:rsid w:val="6574132B"/>
    <w:rsid w:val="66216A37"/>
    <w:rsid w:val="662E405E"/>
    <w:rsid w:val="667D59EE"/>
    <w:rsid w:val="66A9331F"/>
    <w:rsid w:val="66D02C11"/>
    <w:rsid w:val="6708083A"/>
    <w:rsid w:val="67922EBD"/>
    <w:rsid w:val="691340F0"/>
    <w:rsid w:val="69C52D2D"/>
    <w:rsid w:val="69DF5331"/>
    <w:rsid w:val="69E358C6"/>
    <w:rsid w:val="69F474D1"/>
    <w:rsid w:val="69FB6C4A"/>
    <w:rsid w:val="6A2D2F36"/>
    <w:rsid w:val="6A333302"/>
    <w:rsid w:val="6B4539EA"/>
    <w:rsid w:val="6B956282"/>
    <w:rsid w:val="6BA054D4"/>
    <w:rsid w:val="6BE4292B"/>
    <w:rsid w:val="6C160617"/>
    <w:rsid w:val="6C396ACF"/>
    <w:rsid w:val="6C5C2623"/>
    <w:rsid w:val="6D2F407A"/>
    <w:rsid w:val="6D837F22"/>
    <w:rsid w:val="6DEC350D"/>
    <w:rsid w:val="6E7500BA"/>
    <w:rsid w:val="6EED3FB7"/>
    <w:rsid w:val="6F840C6A"/>
    <w:rsid w:val="702D4B4E"/>
    <w:rsid w:val="70CB669B"/>
    <w:rsid w:val="70F924E4"/>
    <w:rsid w:val="715A2C81"/>
    <w:rsid w:val="72060F24"/>
    <w:rsid w:val="721D1BF0"/>
    <w:rsid w:val="723A4B80"/>
    <w:rsid w:val="72E77881"/>
    <w:rsid w:val="744954D0"/>
    <w:rsid w:val="74966E69"/>
    <w:rsid w:val="74AD3481"/>
    <w:rsid w:val="74D13B05"/>
    <w:rsid w:val="74D43062"/>
    <w:rsid w:val="75217B12"/>
    <w:rsid w:val="76312C11"/>
    <w:rsid w:val="765C4832"/>
    <w:rsid w:val="76EF4F57"/>
    <w:rsid w:val="775C1F10"/>
    <w:rsid w:val="778A507D"/>
    <w:rsid w:val="779810ED"/>
    <w:rsid w:val="78323620"/>
    <w:rsid w:val="78782A39"/>
    <w:rsid w:val="7879794A"/>
    <w:rsid w:val="79DC10E6"/>
    <w:rsid w:val="7A264E9A"/>
    <w:rsid w:val="7B2112EE"/>
    <w:rsid w:val="7C370DFC"/>
    <w:rsid w:val="7C8C6BAA"/>
    <w:rsid w:val="7DAA48D8"/>
    <w:rsid w:val="7DE60785"/>
    <w:rsid w:val="7E1405B7"/>
    <w:rsid w:val="7E5935B0"/>
    <w:rsid w:val="7E903664"/>
    <w:rsid w:val="7E933A58"/>
    <w:rsid w:val="7EEC2C84"/>
    <w:rsid w:val="7EF66E9A"/>
    <w:rsid w:val="7F0B7D77"/>
    <w:rsid w:val="7F7216DD"/>
    <w:rsid w:val="7FB80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0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872</Characters>
  <Lines>0</Lines>
  <Paragraphs>0</Paragraphs>
  <TotalTime>0</TotalTime>
  <ScaleCrop>false</ScaleCrop>
  <LinksUpToDate>false</LinksUpToDate>
  <CharactersWithSpaces>889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王治皓</cp:lastModifiedBy>
  <dcterms:modified xsi:type="dcterms:W3CDTF">2024-11-21T10:38:31Z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B8D0BC2654FE4126922D848F1A83F846</vt:lpwstr>
  </property>
</Properties>
</file>