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auto"/>
          <w:kern w:val="2"/>
          <w:sz w:val="44"/>
          <w:szCs w:val="44"/>
          <w:highlight w:val="none"/>
          <w:lang w:val="en-US" w:eastAsia="zh-CN"/>
        </w:rPr>
        <w:t>川投国际有限公司税务咨询代理服务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auto"/>
          <w:kern w:val="2"/>
          <w:sz w:val="44"/>
          <w:szCs w:val="44"/>
          <w:highlight w:val="none"/>
          <w:lang w:val="en-US" w:eastAsia="zh-CN"/>
        </w:rPr>
        <w:t>中介机构比选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auto"/>
          <w:kern w:val="2"/>
          <w:sz w:val="44"/>
          <w:szCs w:val="44"/>
          <w:highlight w:val="none"/>
          <w:lang w:val="en-US" w:eastAsia="zh-CN"/>
        </w:rPr>
        <w:t>更新公告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/>
          <w:color w:val="auto"/>
          <w:kern w:val="2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一、比选项目：选聘2025-2028年度税务咨询服务机构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二、比选编号：SCIGI-2025-001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三、更正事项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1、原公告的招标投标截止时间由2025年3月19日9:30，现变更为2025年3月21日17:00；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2、原公告的招标比选时间由2025年3月19日9:30，现变更为2025年3月24日9:30。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四、联系方式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采购人：资金财务部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地址：成都市武侯区临江西路1号川投大厦1716室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联系人：梁书仪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联系电话：13072807090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675ED"/>
    <w:rsid w:val="03C675ED"/>
    <w:rsid w:val="7485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2025-03-18T02:34:00Z</dcterms:created>
  <dc:creator>梁书仪</dc:creator>
  <cp:lastModifiedBy>梁书仪</cp:lastModifiedBy>
  <dcterms:modified xsi:type="dcterms:W3CDTF">2025-03-18T02:54:40Z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C5E88EC6D89A4A149A4AC42FAA15DA8A</vt:lpwstr>
  </property>
</Properties>
</file>